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28380" w14:textId="096AA841" w:rsidR="006D4D5C" w:rsidRPr="00F85150" w:rsidRDefault="00B40DBE" w:rsidP="007F440B">
      <w:pPr>
        <w:pStyle w:val="Tytuinfomacjisygnalnej"/>
        <w:spacing w:before="240"/>
        <w:rPr>
          <w:color w:val="auto"/>
        </w:rPr>
      </w:pPr>
      <w:r w:rsidRPr="00F85150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07B41EF4" wp14:editId="08BAC48C">
                <wp:simplePos x="0" y="0"/>
                <wp:positionH relativeFrom="margin">
                  <wp:posOffset>2463165</wp:posOffset>
                </wp:positionH>
                <wp:positionV relativeFrom="paragraph">
                  <wp:posOffset>1174115</wp:posOffset>
                </wp:positionV>
                <wp:extent cx="2358000" cy="1619885"/>
                <wp:effectExtent l="0" t="0" r="4445" b="0"/>
                <wp:wrapSquare wrapText="bothSides"/>
                <wp:docPr id="6" name="Pole tekstowe 2" descr="Ikona domu jednorodzinnego oraz ikona strzałki skierowanej grotem do góry, co oznacza zwiększenie się wartości. Wzrost liczby budynków, do których doprowadzone są jednocześnie wodociąg, kanalizacja i centralne ogrzewanie w porównaniu do 2011 r. o 2,7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000" cy="161988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9985E" w14:textId="21C11FF6" w:rsidR="002937D6" w:rsidRPr="007D605C" w:rsidRDefault="002937D6" w:rsidP="00FA14D7">
                            <w:pPr>
                              <w:pStyle w:val="Ikonawskanika"/>
                            </w:pPr>
                            <w:r w:rsidRPr="00556D91"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pl-PL"/>
                              </w:rPr>
                              <w:drawing>
                                <wp:inline distT="0" distB="0" distL="0" distR="0" wp14:anchorId="40E16071" wp14:editId="213D9D5A">
                                  <wp:extent cx="375920" cy="369348"/>
                                  <wp:effectExtent l="0" t="0" r="5080" b="0"/>
                                  <wp:docPr id="7" name="Obraz 7" descr="Ikona obrazująca budyn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2022\6 CZERWIEC\29\ikonki-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458" cy="381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81875" w:rsidRPr="00281875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281875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8187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2,7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83738FF" w14:textId="439E37B8" w:rsidR="002937D6" w:rsidRPr="0067190E" w:rsidRDefault="00281875" w:rsidP="00BC4CBC">
                            <w:pPr>
                              <w:pStyle w:val="Opiswskanika"/>
                              <w:spacing w:before="6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</w:t>
                            </w:r>
                            <w:r w:rsidR="002937D6" w:rsidRPr="0067190E">
                              <w:t xml:space="preserve"> budynków</w:t>
                            </w:r>
                            <w:r w:rsidR="002937D6">
                              <w:t>, do których</w:t>
                            </w:r>
                            <w:r w:rsidR="002937D6" w:rsidRPr="0067190E">
                              <w:t xml:space="preserve"> </w:t>
                            </w:r>
                            <w:r w:rsidR="002937D6">
                              <w:t xml:space="preserve">doprowadzone są jednocześnie </w:t>
                            </w:r>
                            <w:r w:rsidR="002937D6" w:rsidRPr="0067190E">
                              <w:t>wodociąg, kanalizacj</w:t>
                            </w:r>
                            <w:r w:rsidR="002937D6">
                              <w:t>a</w:t>
                            </w:r>
                            <w:r w:rsidR="002937D6" w:rsidRPr="0067190E">
                              <w:t xml:space="preserve"> i centralne</w:t>
                            </w:r>
                            <w:r w:rsidR="00B40DBE">
                              <w:t xml:space="preserve"> </w:t>
                            </w:r>
                            <w:r w:rsidR="00B40DBE" w:rsidRPr="0067190E">
                              <w:t>ogrzewanie</w:t>
                            </w:r>
                            <w:r w:rsidR="00B40DBE">
                              <w:t xml:space="preserve"> w porównaniu z 2011 r.</w:t>
                            </w:r>
                            <w:r w:rsidR="002937D6" w:rsidRPr="0067190E">
                              <w:t xml:space="preserve"> </w:t>
                            </w:r>
                          </w:p>
                          <w:p w14:paraId="39926960" w14:textId="77777777" w:rsidR="002937D6" w:rsidRPr="007D605C" w:rsidRDefault="002937D6" w:rsidP="00FA14D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41EF4" id="Pole tekstowe 2" o:spid="_x0000_s1026" alt="Ikona domu jednorodzinnego oraz ikona strzałki skierowanej grotem do góry, co oznacza zwiększenie się wartości. Wzrost liczby budynków, do których doprowadzone są jednocześnie wodociąg, kanalizacja i centralne ogrzewanie w porównaniu do 2011 r. o 2,7%." style="position:absolute;margin-left:193.95pt;margin-top:92.45pt;width:185.65pt;height:127.5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Px7wIAADYFAAAOAAAAZHJzL2Uyb0RvYy54bWysVM1uHDcMvgfoOxACenP2r17/LDw2UjsJ&#10;AripkaTomStpZuTRiFNJ69mdYwE/RJDHyCPYfq9S2o3ttrcgF4ESxY+fPpI6OVu3Fm60D4ZcIaaj&#10;iQDtJCnjqkL88enNyyMBIaJTaMnpQmx0EGenP7046buFnlFNVmkPDOLCou8KUcfYLcbjIGvdYhhR&#10;px07S/ItRt76aqw89oze2vFsMjkY9+RV50nqEPj0YusUpxm/LLWMv5dl0BFsIZhbzKvP6zKt49MT&#10;XFQeu9rIHQ38DhYtGsdJH6EuMCKsvPkfVGukp0BlHElqx1SWRur8Bn7NdPKf13yssdP5LSxO6B5l&#10;Cj8OVr6/ufJgVCEOBDhsuURXZDVE3YRIvYaZAKWDZMneNeQQFLUruNbKkSc1GOd0RUAeBzDZH6If&#10;8OHvxkBojPbUo9PXUHmKuuVgqO6++s0eSA4aHMoBYejN/ecmDNoZDYFt6NFHevgizQj+HFgurp6R&#10;w3IDy5XauObua7+XoJqYsGTNNndAj2rgFoNwf7vlJwf98CVh9qRImvvbag8adGjNgPIawYDULnq0&#10;HESVHzRTTbehI88pHO9WKQ0XZgp+BGztHf48Si3Td2HByn3sWLu4/pXW3Pq5/KG7JNkEcHReo6v0&#10;K8/Eao2KSzZNkeNnoVuckECW/W+kWHtcRcpA69K3qZ+4Q4DRuXU3j+2q1xEkH85+mR9NJuyS7Jse&#10;TI+PjuY5By6+hXc+xLeaWkhGITytnPrAQ5Fz4M1liIkTLr7dSykDWaPeGGvzxlfLc+vhBtMATaYX&#10;h4e7FP+6Zh30hTiez+YZ2VGKz7PVmsgDbk1biESW6ebjpMlrp7Id0ditzUys24mUdNkqFNfLNV9M&#10;yi1JbVgu7qasCX88bNTkBwE9D3Ehwl8r9FqAfedY8uPp/n6a+rzZnx/OeOOfe5bPPegkQxUiCtia&#10;5zH/FEkHR6+4NKXJej0x2XHl4cwy7j6SNP3P9/nW03d3+g8AAAD//wMAUEsDBBQABgAIAAAAIQDo&#10;oRY84AAAAAsBAAAPAAAAZHJzL2Rvd25yZXYueG1sTI/BTsMwDIbvSLxDZCQuFUvYCutK04khlQM7&#10;0cE9a7ymokmqJlvL22NOcLP1f/r9udjOtmcXHEPnnYT7hQCGrvG6c62Ej0N1lwELUTmteu9QwjcG&#10;2JbXV4XKtZ/cO17q2DIqcSFXEkyMQ855aAxaFRZ+QEfZyY9WRVrHlutRTVRue74U4pFb1Tm6YNSA&#10;Lwabr/psJezG074WqzmY3eFtn1RV8vk6JVLe3szPT8AizvEPhl99UoeSnI7+7HRgvYRVtt4QSkGW&#10;0kDE+mGzBHaUkKZCAC8L/v+H8gcAAP//AwBQSwECLQAUAAYACAAAACEAtoM4kv4AAADhAQAAEwAA&#10;AAAAAAAAAAAAAAAAAAAAW0NvbnRlbnRfVHlwZXNdLnhtbFBLAQItABQABgAIAAAAIQA4/SH/1gAA&#10;AJQBAAALAAAAAAAAAAAAAAAAAC8BAABfcmVscy8ucmVsc1BLAQItABQABgAIAAAAIQCJLRPx7wIA&#10;ADYFAAAOAAAAAAAAAAAAAAAAAC4CAABkcnMvZTJvRG9jLnhtbFBLAQItABQABgAIAAAAIQDooRY8&#10;4AAAAAsBAAAPAAAAAAAAAAAAAAAAAEkFAABkcnMvZG93bnJldi54bWxQSwUGAAAAAAQABADzAAAA&#10;VgYAAAAA&#10;" fillcolor="#001d77" stroked="f">
                <v:stroke joinstyle="miter"/>
                <v:textbox>
                  <w:txbxContent>
                    <w:p w14:paraId="7059985E" w14:textId="21C11FF6" w:rsidR="002937D6" w:rsidRPr="007D605C" w:rsidRDefault="002937D6" w:rsidP="00FA14D7">
                      <w:pPr>
                        <w:pStyle w:val="Ikonawskanika"/>
                      </w:pPr>
                      <w:r w:rsidRPr="00556D91">
                        <w:rPr>
                          <w:noProof/>
                          <w:color w:val="FFFFFF" w:themeColor="background1"/>
                          <w:sz w:val="72"/>
                          <w:szCs w:val="72"/>
                          <w:lang w:eastAsia="pl-PL"/>
                        </w:rPr>
                        <w:drawing>
                          <wp:inline distT="0" distB="0" distL="0" distR="0" wp14:anchorId="40E16071" wp14:editId="213D9D5A">
                            <wp:extent cx="375920" cy="369348"/>
                            <wp:effectExtent l="0" t="0" r="5080" b="0"/>
                            <wp:docPr id="7" name="Obraz 7" descr="Ikona obrazująca budynk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2022\6 CZERWIEC\29\ikonki-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458" cy="381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81875" w:rsidRPr="00281875">
                        <w:rPr>
                          <w:color w:val="FFFFFF" w:themeColor="background1"/>
                          <w:sz w:val="72"/>
                          <w:szCs w:val="72"/>
                        </w:rPr>
                        <w:sym w:font="Wingdings" w:char="F0F1"/>
                      </w:r>
                      <w:r w:rsidR="00281875">
                        <w:rPr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281875">
                        <w:rPr>
                          <w:rStyle w:val="WartowskanikaZnak"/>
                          <w:sz w:val="72"/>
                          <w:szCs w:val="72"/>
                        </w:rPr>
                        <w:t>2,7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83738FF" w14:textId="439E37B8" w:rsidR="002937D6" w:rsidRPr="0067190E" w:rsidRDefault="00281875" w:rsidP="00BC4CBC">
                      <w:pPr>
                        <w:pStyle w:val="Opiswskanika"/>
                        <w:spacing w:before="60"/>
                        <w:rPr>
                          <w:sz w:val="18"/>
                          <w:szCs w:val="20"/>
                        </w:rPr>
                      </w:pPr>
                      <w:r>
                        <w:t>Wzrost liczby</w:t>
                      </w:r>
                      <w:r w:rsidR="002937D6" w:rsidRPr="0067190E">
                        <w:t xml:space="preserve"> budynków</w:t>
                      </w:r>
                      <w:r w:rsidR="002937D6">
                        <w:t>, do których</w:t>
                      </w:r>
                      <w:r w:rsidR="002937D6" w:rsidRPr="0067190E">
                        <w:t xml:space="preserve"> </w:t>
                      </w:r>
                      <w:r w:rsidR="002937D6">
                        <w:t xml:space="preserve">doprowadzone są jednocześnie </w:t>
                      </w:r>
                      <w:r w:rsidR="002937D6" w:rsidRPr="0067190E">
                        <w:t>wodociąg, kanalizacj</w:t>
                      </w:r>
                      <w:r w:rsidR="002937D6">
                        <w:t>a</w:t>
                      </w:r>
                      <w:r w:rsidR="002937D6" w:rsidRPr="0067190E">
                        <w:t xml:space="preserve"> i centralne</w:t>
                      </w:r>
                      <w:r w:rsidR="00B40DBE">
                        <w:t xml:space="preserve"> </w:t>
                      </w:r>
                      <w:r w:rsidR="00B40DBE" w:rsidRPr="0067190E">
                        <w:t>ogrzewanie</w:t>
                      </w:r>
                      <w:r w:rsidR="00B40DBE">
                        <w:t xml:space="preserve"> w porównaniu z 2011 r.</w:t>
                      </w:r>
                      <w:r w:rsidR="002937D6" w:rsidRPr="0067190E">
                        <w:t xml:space="preserve"> </w:t>
                      </w:r>
                    </w:p>
                    <w:p w14:paraId="39926960" w14:textId="77777777" w:rsidR="002937D6" w:rsidRPr="007D605C" w:rsidRDefault="002937D6" w:rsidP="00FA14D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A14D7" w:rsidRPr="00F85150">
        <w:rPr>
          <w:noProof/>
          <w:color w:val="auto"/>
          <w:lang w:eastAsia="pl-PL"/>
        </w:rPr>
        <w:t>Warunki mieszkaniowe</w:t>
      </w:r>
      <w:r w:rsidR="006D4D5C" w:rsidRPr="00F85150">
        <w:rPr>
          <w:color w:val="auto"/>
        </w:rPr>
        <w:t xml:space="preserve"> w województwie</w:t>
      </w:r>
      <w:r w:rsidR="00DB13E6" w:rsidRPr="00F85150">
        <w:rPr>
          <w:color w:val="auto"/>
        </w:rPr>
        <w:t xml:space="preserve"> świętokrzyskim</w:t>
      </w:r>
      <w:r w:rsidR="006D4D5C" w:rsidRPr="00F85150">
        <w:rPr>
          <w:color w:val="auto"/>
        </w:rPr>
        <w:t xml:space="preserve"> – wyniki </w:t>
      </w:r>
      <w:r w:rsidR="00FA14D7" w:rsidRPr="00F85150">
        <w:rPr>
          <w:color w:val="auto"/>
        </w:rPr>
        <w:t>wstępne</w:t>
      </w:r>
      <w:r w:rsidR="006D4D5C" w:rsidRPr="00F85150">
        <w:rPr>
          <w:color w:val="auto"/>
        </w:rPr>
        <w:t xml:space="preserve"> NSP 2021</w:t>
      </w:r>
    </w:p>
    <w:p w14:paraId="754B8855" w14:textId="79609615" w:rsidR="00393761" w:rsidRPr="007D605C" w:rsidRDefault="00B40DBE" w:rsidP="00F942F9">
      <w:pPr>
        <w:pStyle w:val="Tytuinfomacjisygnalnej"/>
        <w:spacing w:after="120"/>
      </w:pPr>
      <w:r w:rsidRPr="00FA14D7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4BA7168" wp14:editId="2B84187C">
                <wp:simplePos x="0" y="0"/>
                <wp:positionH relativeFrom="margin">
                  <wp:posOffset>0</wp:posOffset>
                </wp:positionH>
                <wp:positionV relativeFrom="page">
                  <wp:posOffset>2261870</wp:posOffset>
                </wp:positionV>
                <wp:extent cx="2358000" cy="1620000"/>
                <wp:effectExtent l="0" t="0" r="23495" b="18415"/>
                <wp:wrapSquare wrapText="bothSides"/>
                <wp:docPr id="17" name="Pole tekstowe 2" descr="Ikona bloku mieszkalnego oraz ikona strzałki skierowanej grotem do góry, co oznacza zwiększenie się wartości.  Wzrost liczby mieszkań z wodociągiem, ustępem i łazienką w 2021 r. w porównaniu z 2011 r. o 9,5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000" cy="1620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A586A" w14:textId="0475076C" w:rsidR="002937D6" w:rsidRDefault="002937D6" w:rsidP="00FA14D7">
                            <w:pPr>
                              <w:pStyle w:val="Opiswskanika"/>
                            </w:pPr>
                            <w:r w:rsidRPr="0043050E">
                              <w:rPr>
                                <w:rStyle w:val="IkonawskanikaZnak"/>
                                <w:rFonts w:ascii="Fira Sans" w:hAnsi="Fira Sans"/>
                                <w:noProof/>
                                <w:color w:val="auto"/>
                                <w:sz w:val="19"/>
                                <w:szCs w:val="22"/>
                                <w:lang w:eastAsia="pl-PL"/>
                              </w:rPr>
                              <w:drawing>
                                <wp:inline distT="0" distB="0" distL="0" distR="0" wp14:anchorId="0CEC807F" wp14:editId="56570608">
                                  <wp:extent cx="372220" cy="373380"/>
                                  <wp:effectExtent l="0" t="0" r="8890" b="7620"/>
                                  <wp:docPr id="25" name="Obraz 25" descr="Ikona obrazująca mieszkan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220" cy="373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81875" w:rsidRPr="0028187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28187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81875" w:rsidRPr="0028187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9,5%</w:t>
                            </w:r>
                          </w:p>
                          <w:p w14:paraId="105768D5" w14:textId="23AF84F7" w:rsidR="002937D6" w:rsidRPr="007D605C" w:rsidRDefault="00F66BDE" w:rsidP="002A49DA">
                            <w:pPr>
                              <w:pStyle w:val="Opiswskanika"/>
                              <w:spacing w:before="24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</w:t>
                            </w:r>
                            <w:r w:rsidR="00281875">
                              <w:t>rost</w:t>
                            </w:r>
                            <w:r>
                              <w:t xml:space="preserve"> liczby</w:t>
                            </w:r>
                            <w:r w:rsidR="002937D6" w:rsidRPr="004121C0">
                              <w:t xml:space="preserve"> mieszkań </w:t>
                            </w:r>
                            <w:r w:rsidR="002937D6">
                              <w:t>z wodociągiem, ustępem i łazienką</w:t>
                            </w:r>
                            <w:r w:rsidR="00B40DBE">
                              <w:t xml:space="preserve"> w porównaniu z 2011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A7168" id="_x0000_s1027" alt="Ikona bloku mieszkalnego oraz ikona strzałki skierowanej grotem do góry, co oznacza zwiększenie się wartości.  Wzrost liczby mieszkań z wodociągiem, ustępem i łazienką w 2021 r. w porównaniu z 2011 r. o 9,5%." style="position:absolute;margin-left:0;margin-top:178.1pt;width:185.65pt;height:127.5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FvY5AIAAD4FAAAOAAAAZHJzL2Uyb0RvYy54bWysVM1uHDcMvhfIOxACcnP3L944XngcJHZT&#10;BEjaoGnRM1fDmVVGI04krWd3jkHyEEEfI48Q+71Kadauk96KXgRSlD6SH3/Onu5aC1fkg2FXqPlk&#10;poCc5tK4ulB//P7ixycKQkRXomVHhdpTUE/PH/xw1ncrWvCGbUkeBMSFVd8VahNjt5pOg95Qi2HC&#10;HTkxVuxbjKL6elp67AW9tdPFbPZ42rMvO8+aQpDby9GozjN+VZGOv1ZVoAi2UBJbzKfP5zqd0/Mz&#10;XNUeu43RhzDwP0TRonHi9A7qEiPC1pt/QbVGew5cxYnmdspVZTTlHCSb+ey7bN5usKOci5ATujua&#10;wv8Hq3+5euPBlFK7EwUOW6nRG7YEkZoQuSdYKCgpaOHsZcMOYW252UJrKAwNWkc1A3scwGRriH7A&#10;mw+NgdAY8tyjo3dQe47UQslQf/3i90eg5dPgUA8IQ2+uPzdhIGcIgsjQo49885c2E4A/B6FLqmf0&#10;sN7fer35CAP0XLI2159qQ+0RbEO8/tyJDwM3H3Aw5JrrT9DDYraYg5+I1LH/+qV36MxWfgvb+Z7h&#10;9Gj5cJL6oO/CSuh42wkhcfecd8JJrmnoXrFuAji+2KCr6ZmXvDaEpdRhnn5O730dcUICWfevuRQ+&#10;cRs5A+0q36YmkbKDoEs/7u96kHYRtFwuHi2fzGZi0mKbP5YeFyX5wNXt986H+DNxC0kolOetK3+T&#10;Ts8+8OpViOP723fJZWBryhfG2qz4en1hPVxhmorZ/PLk5ODim2fWQV+o0+ViOdLwDUQaULoDQa3J&#10;xZGM75y1JsqEW9MWKiU2ZoOrxN9PrpRIcRXR2FGWLK07EJo4HNmMu/Vu7NHbOq253AvD0laZRllA&#10;ImzYDwp6GeZChfdb9KTAvnRSpdP58XGa/qwcL08Wovj7lvV9CzotUIWKCkbxIuaNkUJ1/EyqWZlM&#10;cSr7GMkhZBnSXKnDQklb4L6eX/2z9s7/BgAA//8DAFBLAwQUAAYACAAAACEA64bRkd0AAAAIAQAA&#10;DwAAAGRycy9kb3ducmV2LnhtbEyPQU+EMBCF7yb+h2ZMvLmFJYuKDBui0ZMx6+oPKHSkKG0JLQv+&#10;e8eT3t7kTd77Xrlf7SBONIXeO4R0k4Ag13rduw7h/e3x6gZEiMppNXhHCN8UYF+dn5Wq0H5xr3Q6&#10;xk5wiAuFQjAxjoWUoTVkVdj4kRx7H36yKvI5dVJPauFwO8htkuTSqt5xg1Ej3Rtqv46zRfgMu+75&#10;JR5kOi714dY8dE/NXCNeXqz1HYhIa/x7hl98RoeKmRo/Ox3EgMBDIkK2y7cg2M6u0wxEg5CnLGRV&#10;yv8Dqh8AAAD//wMAUEsBAi0AFAAGAAgAAAAhALaDOJL+AAAA4QEAABMAAAAAAAAAAAAAAAAAAAAA&#10;AFtDb250ZW50X1R5cGVzXS54bWxQSwECLQAUAAYACAAAACEAOP0h/9YAAACUAQAACwAAAAAAAAAA&#10;AAAAAAAvAQAAX3JlbHMvLnJlbHNQSwECLQAUAAYACAAAACEAO8Rb2OQCAAA+BQAADgAAAAAAAAAA&#10;AAAAAAAuAgAAZHJzL2Uyb0RvYy54bWxQSwECLQAUAAYACAAAACEA64bRkd0AAAAIAQAADwAAAAAA&#10;AAAAAAAAAAA+BQAAZHJzL2Rvd25yZXYueG1sUEsFBgAAAAAEAAQA8wAAAEgGAAAAAA==&#10;" fillcolor="#001d77" strokecolor="#5b9bd5 [3204]">
                <v:stroke joinstyle="miter"/>
                <v:textbox>
                  <w:txbxContent>
                    <w:p w14:paraId="53CA586A" w14:textId="0475076C" w:rsidR="002937D6" w:rsidRDefault="002937D6" w:rsidP="00FA14D7">
                      <w:pPr>
                        <w:pStyle w:val="Opiswskanika"/>
                      </w:pPr>
                      <w:r w:rsidRPr="0043050E">
                        <w:rPr>
                          <w:rStyle w:val="IkonawskanikaZnak"/>
                          <w:rFonts w:ascii="Fira Sans" w:hAnsi="Fira Sans"/>
                          <w:noProof/>
                          <w:color w:val="auto"/>
                          <w:sz w:val="19"/>
                          <w:szCs w:val="22"/>
                          <w:lang w:eastAsia="pl-PL"/>
                        </w:rPr>
                        <w:drawing>
                          <wp:inline distT="0" distB="0" distL="0" distR="0" wp14:anchorId="0CEC807F" wp14:editId="56570608">
                            <wp:extent cx="372220" cy="373380"/>
                            <wp:effectExtent l="0" t="0" r="8890" b="7620"/>
                            <wp:docPr id="25" name="Obraz 25" descr="Ikona obrazująca mieszkan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220" cy="373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81875" w:rsidRPr="0028187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sym w:font="Wingdings" w:char="F0F1"/>
                      </w:r>
                      <w:r w:rsidR="0028187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 xml:space="preserve"> </w:t>
                      </w:r>
                      <w:r w:rsidR="00281875" w:rsidRPr="0028187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9,5%</w:t>
                      </w:r>
                    </w:p>
                    <w:p w14:paraId="105768D5" w14:textId="23AF84F7" w:rsidR="002937D6" w:rsidRPr="007D605C" w:rsidRDefault="00F66BDE" w:rsidP="002A49DA">
                      <w:pPr>
                        <w:pStyle w:val="Opiswskanika"/>
                        <w:spacing w:before="240"/>
                        <w:rPr>
                          <w:sz w:val="18"/>
                          <w:szCs w:val="20"/>
                        </w:rPr>
                      </w:pPr>
                      <w:r>
                        <w:t>Wz</w:t>
                      </w:r>
                      <w:r w:rsidR="00281875">
                        <w:t>rost</w:t>
                      </w:r>
                      <w:r>
                        <w:t xml:space="preserve"> liczby</w:t>
                      </w:r>
                      <w:r w:rsidR="002937D6" w:rsidRPr="004121C0">
                        <w:t xml:space="preserve"> mieszkań </w:t>
                      </w:r>
                      <w:r w:rsidR="002937D6">
                        <w:t>z wodociągiem, ustępem i łazienką</w:t>
                      </w:r>
                      <w:r w:rsidR="00B40DBE">
                        <w:t xml:space="preserve"> w porównaniu z 2011 r.</w:t>
                      </w: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</w:p>
    <w:p w14:paraId="1FD55C8B" w14:textId="036D1DD3" w:rsidR="004A6296" w:rsidRPr="00C8421D" w:rsidRDefault="0045627B" w:rsidP="00F942F9">
      <w:pPr>
        <w:pStyle w:val="Nagwek1"/>
        <w:spacing w:before="240"/>
        <w:rPr>
          <w:rFonts w:ascii="Fira Sans" w:hAnsi="Fira Sans"/>
          <w:b/>
          <w:szCs w:val="19"/>
        </w:rPr>
      </w:pPr>
      <w:r w:rsidRPr="00C24301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599BF047" wp14:editId="19553FCD">
                <wp:simplePos x="0" y="0"/>
                <wp:positionH relativeFrom="column">
                  <wp:posOffset>5306525</wp:posOffset>
                </wp:positionH>
                <wp:positionV relativeFrom="page">
                  <wp:posOffset>4419761</wp:posOffset>
                </wp:positionV>
                <wp:extent cx="1725295" cy="1141095"/>
                <wp:effectExtent l="0" t="0" r="0" b="1905"/>
                <wp:wrapTight wrapText="bothSides">
                  <wp:wrapPolygon edited="0">
                    <wp:start x="715" y="0"/>
                    <wp:lineTo x="715" y="21275"/>
                    <wp:lineTo x="20749" y="21275"/>
                    <wp:lineTo x="20749" y="0"/>
                    <wp:lineTo x="715" y="0"/>
                  </wp:wrapPolygon>
                </wp:wrapTight>
                <wp:docPr id="2" name="Pole tekstowe 2" descr="Zasoby mieszkaniowe w województwie liczyły 453,1 tys. mieszkań i w ciągu dekady zwiększyły się o 6,3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1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47714" w14:textId="19C58BB1" w:rsidR="002937D6" w:rsidRPr="0051499E" w:rsidRDefault="002937D6" w:rsidP="0051499E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Zasoby mieszkaniowe w województwie liczyły 453,1 tys. mieszkań i w ciągu dekady zwiększyły się o 6,3%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BF04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Zasoby mieszkaniowe w województwie liczyły 453,1 tys. mieszkań i w ciągu dekady zwiększyły się o 6,3%." style="position:absolute;margin-left:417.85pt;margin-top:348pt;width:135.85pt;height:89.8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0/bwIAAHUEAAAOAAAAZHJzL2Uyb0RvYy54bWysVM1u1DAQviPxDiNL3Mpms93tT9RsVVpA&#10;SAUqFS7cvI6zMZt4gu2tkz0ieAieg0egfS/GzrZdwQ2RgzXjmfk8881MTk67poYbaaxCnbN0NGYg&#10;tcBC6WXOPn549fyIgXVcF7xGLXPWS8tO50+fnPg2kxOssC6kAQLRNvNtzirn2ixJrKhkw+0IW6nJ&#10;WKJpuCPVLJPCcE/oTZ1MxuODxKMpWoNCWku3F4ORzSN+WUrh3pellQ7qnFFuLp4mnotwJvMTni0N&#10;bysltmnwf8ii4UrTow9QF9xxWBv1F1SjhEGLpRsJbBIsSyVkrIGqScd/VHNd8VbGWogc2z7QZP8f&#10;rHh3c2VAFTmbMNC8oRZdYS3ByZV16CXQdSGtIMo+cYuLHhol7WbFtQpWDx4/S//rZ7FxXkmoldj0&#10;d197mM7291JwvR3dB9x9A0X+Qt1+X64Jc8WLHjZe3f5Y2SHGkgwIB3v7z0ahMb61GeV33VKGrnuB&#10;HQ1YJNm2lyhWFjSeV1wv5Zkx6CvJCyImDZHJTuiAYwPIwr/Fgirka4cRqCtNE7pGfQBCpwHpH4ZC&#10;dg5EePJwMpsczxgIsqXpNB2TEt7g2X14a6x7LbGBIOTM0NRFeH5zad3geu8SXtP4StU13fOs1uBz&#10;djybzGLAjqVRjhajVk3OjsbhG0Y1VPlSFzHYcVUPMuVS623ZodKhZtctum1ryT9QssCiJx4MDntA&#10;e0tChWbDwNMO5Mx+WXMjGdRvNHF5nE6nYWmiMp0dTkgxu5bFroVrQVA5cwwG8dzFRRtKPiPOSxXZ&#10;eMxkmzLNduRzu4dheXb16PX4t5j/BgAA//8DAFBLAwQUAAYACAAAACEAxCpmVd8AAAAMAQAADwAA&#10;AGRycy9kb3ducmV2LnhtbEyPQU/CQBCF7yb8h82YeJNdFFqo3RKj8aoB1MTb0h3ahu5s011o/fcO&#10;JzlO3pc338vXo2vFGfvQeNIwmyoQSKW3DVUaPndv90sQIRqypvWEGn4xwLqY3OQms36gDZ63sRJc&#10;QiEzGuoYu0zKUNboTJj6Domzg++diXz2lbS9GbjctfJBqUQ60xB/qE2HLzWWx+3Jafh6P/x8z9VH&#10;9eoW3eBHJcmtpNZ3t+PzE4iIY/yH4aLP6lCw096fyAbRalg+LlJGNSSrhEddiJlK5yD2nKWcySKX&#10;1yOKPwAAAP//AwBQSwECLQAUAAYACAAAACEAtoM4kv4AAADhAQAAEwAAAAAAAAAAAAAAAAAAAAAA&#10;W0NvbnRlbnRfVHlwZXNdLnhtbFBLAQItABQABgAIAAAAIQA4/SH/1gAAAJQBAAALAAAAAAAAAAAA&#10;AAAAAC8BAABfcmVscy8ucmVsc1BLAQItABQABgAIAAAAIQAEGW0/bwIAAHUEAAAOAAAAAAAAAAAA&#10;AAAAAC4CAABkcnMvZTJvRG9jLnhtbFBLAQItABQABgAIAAAAIQDEKmZV3wAAAAwBAAAPAAAAAAAA&#10;AAAAAAAAAMkEAABkcnMvZG93bnJldi54bWxQSwUGAAAAAAQABADzAAAA1QUAAAAA&#10;" filled="f" stroked="f">
                <v:textbox>
                  <w:txbxContent>
                    <w:p w14:paraId="0A847714" w14:textId="19C58BB1" w:rsidR="002937D6" w:rsidRPr="0051499E" w:rsidRDefault="002937D6" w:rsidP="0051499E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Zasoby mieszkaniowe w województwie liczyły 453,1 tys. mieszkań i w ciągu dekady zwiększyły się o 6,3%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421D" w:rsidRPr="00C8421D">
        <w:rPr>
          <w:rFonts w:ascii="Fira Sans" w:hAnsi="Fira Sans"/>
          <w:b/>
          <w:szCs w:val="19"/>
        </w:rPr>
        <w:t>Zasoby mieszkaniowe</w:t>
      </w:r>
      <w:r w:rsidR="004A6296" w:rsidRPr="00C8421D">
        <w:rPr>
          <w:rFonts w:ascii="Fira Sans" w:hAnsi="Fira Sans"/>
          <w:b/>
          <w:szCs w:val="19"/>
        </w:rPr>
        <w:t xml:space="preserve"> </w:t>
      </w:r>
    </w:p>
    <w:p w14:paraId="6E438016" w14:textId="213520FE" w:rsidR="00DD2876" w:rsidRPr="00793BC9" w:rsidRDefault="00AA5169" w:rsidP="006606C5">
      <w:pPr>
        <w:spacing w:line="288" w:lineRule="auto"/>
        <w:rPr>
          <w:noProof/>
          <w:lang w:eastAsia="pl-PL"/>
        </w:rPr>
      </w:pPr>
      <w:r w:rsidRPr="00AA5169">
        <w:t xml:space="preserve">Według ostatecznych wyników Narodowego Spisu Powszechnego Ludności i Mieszkań 2021 zasoby mieszkaniowe w województwie świętokrzyskim liczyły </w:t>
      </w:r>
      <w:r w:rsidRPr="00AA5169">
        <w:rPr>
          <w:shd w:val="clear" w:color="auto" w:fill="FFFFFF"/>
        </w:rPr>
        <w:t>453,1 tys. mieszkań i w porównaniu z NSP 2011 zwiększył</w:t>
      </w:r>
      <w:r w:rsidR="0055631C">
        <w:rPr>
          <w:shd w:val="clear" w:color="auto" w:fill="FFFFFF"/>
        </w:rPr>
        <w:t>y</w:t>
      </w:r>
      <w:r w:rsidRPr="00AA5169">
        <w:rPr>
          <w:shd w:val="clear" w:color="auto" w:fill="FFFFFF"/>
        </w:rPr>
        <w:t xml:space="preserve"> się o </w:t>
      </w:r>
      <w:r w:rsidR="0055631C" w:rsidRPr="00AA5169">
        <w:rPr>
          <w:shd w:val="clear" w:color="auto" w:fill="FFFFFF"/>
        </w:rPr>
        <w:t>6,3%</w:t>
      </w:r>
      <w:r w:rsidR="00B81F93">
        <w:rPr>
          <w:shd w:val="clear" w:color="auto" w:fill="FFFFFF"/>
        </w:rPr>
        <w:t>,</w:t>
      </w:r>
      <w:r w:rsidR="0055631C">
        <w:rPr>
          <w:shd w:val="clear" w:color="auto" w:fill="FFFFFF"/>
        </w:rPr>
        <w:t xml:space="preserve"> tj. o </w:t>
      </w:r>
      <w:r w:rsidRPr="00AA5169">
        <w:rPr>
          <w:shd w:val="clear" w:color="auto" w:fill="FFFFFF"/>
        </w:rPr>
        <w:t>27,0 tys.</w:t>
      </w:r>
      <w:r w:rsidR="0055631C">
        <w:rPr>
          <w:shd w:val="clear" w:color="auto" w:fill="FFFFFF"/>
        </w:rPr>
        <w:t xml:space="preserve"> mieszkań.</w:t>
      </w:r>
      <w:r w:rsidRPr="00AA5169">
        <w:rPr>
          <w:shd w:val="clear" w:color="auto" w:fill="FFFFFF"/>
        </w:rPr>
        <w:t xml:space="preserve"> </w:t>
      </w:r>
      <w:r>
        <w:rPr>
          <w:shd w:val="clear" w:color="auto" w:fill="FFFFFF"/>
        </w:rPr>
        <w:t>U</w:t>
      </w:r>
      <w:r w:rsidRPr="00AA5169">
        <w:rPr>
          <w:shd w:val="clear" w:color="auto" w:fill="FFFFFF"/>
        </w:rPr>
        <w:t xml:space="preserve">dział województwa świętokrzyskiego w zasobach mieszkaniowych kraju </w:t>
      </w:r>
      <w:r>
        <w:rPr>
          <w:shd w:val="clear" w:color="auto" w:fill="FFFFFF"/>
        </w:rPr>
        <w:t>wyn</w:t>
      </w:r>
      <w:r w:rsidR="00BB3BB3">
        <w:rPr>
          <w:shd w:val="clear" w:color="auto" w:fill="FFFFFF"/>
        </w:rPr>
        <w:t>iósł</w:t>
      </w:r>
      <w:r>
        <w:rPr>
          <w:shd w:val="clear" w:color="auto" w:fill="FFFFFF"/>
        </w:rPr>
        <w:t xml:space="preserve"> 3,0%</w:t>
      </w:r>
      <w:r w:rsidR="00284B1F">
        <w:rPr>
          <w:shd w:val="clear" w:color="auto" w:fill="FFFFFF"/>
        </w:rPr>
        <w:t xml:space="preserve"> i w porównaniu </w:t>
      </w:r>
      <w:r w:rsidR="00D2662B">
        <w:rPr>
          <w:shd w:val="clear" w:color="auto" w:fill="FFFFFF"/>
        </w:rPr>
        <w:t>z</w:t>
      </w:r>
      <w:r w:rsidR="00284B1F">
        <w:rPr>
          <w:shd w:val="clear" w:color="auto" w:fill="FFFFFF"/>
        </w:rPr>
        <w:t xml:space="preserve"> NSP 2011 </w:t>
      </w:r>
      <w:r w:rsidRPr="00AA5169">
        <w:rPr>
          <w:shd w:val="clear" w:color="auto" w:fill="FFFFFF"/>
        </w:rPr>
        <w:t xml:space="preserve">zmniejszył się o 0,2 p.proc. </w:t>
      </w:r>
      <w:r w:rsidR="00DD2876">
        <w:rPr>
          <w:shd w:val="clear" w:color="auto" w:fill="FFFFFF"/>
        </w:rPr>
        <w:t>Z ogółu zasobów mieszkaniowych 52,5% zlokalizowanych było w mi</w:t>
      </w:r>
      <w:r w:rsidR="006E7F34">
        <w:rPr>
          <w:shd w:val="clear" w:color="auto" w:fill="FFFFFF"/>
        </w:rPr>
        <w:t>astach</w:t>
      </w:r>
      <w:r w:rsidR="00DD2876">
        <w:rPr>
          <w:shd w:val="clear" w:color="auto" w:fill="FFFFFF"/>
        </w:rPr>
        <w:t xml:space="preserve">, a 47,5% na terenach wiejskich. </w:t>
      </w:r>
      <w:r w:rsidR="00DD2876">
        <w:rPr>
          <w:noProof/>
          <w:lang w:eastAsia="pl-PL"/>
        </w:rPr>
        <w:t>D</w:t>
      </w:r>
      <w:r w:rsidR="00DD2876" w:rsidRPr="00793BC9">
        <w:rPr>
          <w:noProof/>
          <w:lang w:eastAsia="pl-PL"/>
        </w:rPr>
        <w:t xml:space="preserve">ynamika przyrostu liczby mieszkań była wyższa </w:t>
      </w:r>
      <w:r w:rsidR="00DD2876">
        <w:rPr>
          <w:noProof/>
          <w:lang w:eastAsia="pl-PL"/>
        </w:rPr>
        <w:t xml:space="preserve">w miastach </w:t>
      </w:r>
      <w:r w:rsidR="00DD2876" w:rsidRPr="00793BC9">
        <w:rPr>
          <w:noProof/>
          <w:lang w:eastAsia="pl-PL"/>
        </w:rPr>
        <w:t>niż na terenach wiejskich</w:t>
      </w:r>
      <w:r w:rsidR="0018112D">
        <w:rPr>
          <w:noProof/>
          <w:lang w:eastAsia="pl-PL"/>
        </w:rPr>
        <w:t xml:space="preserve">. </w:t>
      </w:r>
      <w:r w:rsidR="00DD2876">
        <w:rPr>
          <w:noProof/>
          <w:lang w:eastAsia="pl-PL"/>
        </w:rPr>
        <w:t>W</w:t>
      </w:r>
      <w:r w:rsidR="00DD2876" w:rsidRPr="00793BC9">
        <w:rPr>
          <w:noProof/>
          <w:lang w:eastAsia="pl-PL"/>
        </w:rPr>
        <w:t xml:space="preserve"> miastach liczba mieszkań wzrosła o 10,3% (tj. o 22,2 tys. mieszkań) i wyniosła 237,7 tys., podczas gdy na </w:t>
      </w:r>
      <w:r w:rsidR="006E7F34">
        <w:rPr>
          <w:noProof/>
          <w:lang w:eastAsia="pl-PL"/>
        </w:rPr>
        <w:t xml:space="preserve">terenach </w:t>
      </w:r>
      <w:r w:rsidR="00DD2876" w:rsidRPr="00793BC9">
        <w:rPr>
          <w:noProof/>
          <w:lang w:eastAsia="pl-PL"/>
        </w:rPr>
        <w:t>w</w:t>
      </w:r>
      <w:r w:rsidR="006E7F34">
        <w:rPr>
          <w:noProof/>
          <w:lang w:eastAsia="pl-PL"/>
        </w:rPr>
        <w:t>iejskich</w:t>
      </w:r>
      <w:r w:rsidR="00DD2876" w:rsidRPr="00793BC9">
        <w:rPr>
          <w:noProof/>
          <w:lang w:eastAsia="pl-PL"/>
        </w:rPr>
        <w:t xml:space="preserve"> </w:t>
      </w:r>
      <w:r w:rsidR="00DD2876">
        <w:rPr>
          <w:noProof/>
          <w:lang w:eastAsia="pl-PL"/>
        </w:rPr>
        <w:t xml:space="preserve">zwiększyła się </w:t>
      </w:r>
      <w:r w:rsidR="00DD2876" w:rsidRPr="00793BC9">
        <w:rPr>
          <w:noProof/>
          <w:lang w:eastAsia="pl-PL"/>
        </w:rPr>
        <w:t>o 2,3% (tj. o 4,8 tys. mieszkań) i wyniosła 215,4 tys.</w:t>
      </w:r>
    </w:p>
    <w:p w14:paraId="36C8DF27" w14:textId="00E12867" w:rsidR="00284B1F" w:rsidRDefault="00A059CD" w:rsidP="006606C5">
      <w:pPr>
        <w:spacing w:before="3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857920" behindDoc="0" locked="0" layoutInCell="1" allowOverlap="1" wp14:anchorId="457401DB" wp14:editId="4C5CBA12">
            <wp:simplePos x="0" y="0"/>
            <wp:positionH relativeFrom="margin">
              <wp:align>left</wp:align>
            </wp:positionH>
            <wp:positionV relativeFrom="paragraph">
              <wp:posOffset>408466</wp:posOffset>
            </wp:positionV>
            <wp:extent cx="5041392" cy="2523744"/>
            <wp:effectExtent l="0" t="0" r="6985" b="0"/>
            <wp:wrapTopAndBottom/>
            <wp:docPr id="22" name="Obraz 22" descr="Wykres 1. Mieszkania w latach 2011 i 2021. Stan w dniu 31 marca. Dane ostateczne. W podziale: ogółem, miasto i wieś. Dane w wartościach bezwzględ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1_zasoby mieszkaniow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B1F" w:rsidRPr="00284B1F">
        <w:rPr>
          <w:b/>
        </w:rPr>
        <w:t xml:space="preserve">Wykres 1. </w:t>
      </w:r>
      <w:r w:rsidR="00EC255A">
        <w:rPr>
          <w:b/>
        </w:rPr>
        <w:t>Mieszkania w latach 2011 i 2021</w:t>
      </w:r>
      <w:r w:rsidR="00284B1F">
        <w:rPr>
          <w:b/>
        </w:rPr>
        <w:t xml:space="preserve"> (stan w dniu 31 marca)</w:t>
      </w:r>
      <w:r w:rsidR="00284B1F">
        <w:rPr>
          <w:rStyle w:val="Odwoanieprzypisudolnego"/>
          <w:b/>
        </w:rPr>
        <w:footnoteReference w:id="1"/>
      </w:r>
    </w:p>
    <w:p w14:paraId="39FB55C1" w14:textId="47288C13" w:rsidR="00363354" w:rsidRDefault="00D504D7" w:rsidP="00363354">
      <w:pPr>
        <w:spacing w:line="288" w:lineRule="auto"/>
      </w:pPr>
      <w:r>
        <w:t>Jednym ze wskaźników najlepiej oddającym stopień zaspokojenia potrzeb mieszkaniowych jest liczb</w:t>
      </w:r>
      <w:r w:rsidR="002322C4">
        <w:t>a</w:t>
      </w:r>
      <w:r>
        <w:t xml:space="preserve"> mieszkań </w:t>
      </w:r>
      <w:r w:rsidR="003A441B">
        <w:t xml:space="preserve">w </w:t>
      </w:r>
      <w:r w:rsidR="009F4ACE">
        <w:t>przeliczeniu</w:t>
      </w:r>
      <w:r w:rsidR="003A441B">
        <w:t xml:space="preserve"> </w:t>
      </w:r>
      <w:r>
        <w:t xml:space="preserve">na 1000 ludności. </w:t>
      </w:r>
      <w:r w:rsidR="0032272E">
        <w:t xml:space="preserve">W </w:t>
      </w:r>
      <w:r w:rsidR="00CA0C2F">
        <w:t xml:space="preserve">2021 r. w województwie świętokrzyskim </w:t>
      </w:r>
      <w:r w:rsidR="00247E6C">
        <w:t>wskaźnik ten wyn</w:t>
      </w:r>
      <w:r w:rsidR="00F06FC1">
        <w:t>iósł</w:t>
      </w:r>
      <w:r w:rsidR="00CA0C2F">
        <w:t xml:space="preserve"> 378,6</w:t>
      </w:r>
      <w:r w:rsidR="009F4ACE">
        <w:t>, to</w:t>
      </w:r>
      <w:r w:rsidR="002322C4">
        <w:t xml:space="preserve"> </w:t>
      </w:r>
      <w:r w:rsidR="009F4ACE">
        <w:t xml:space="preserve">zdecydowanie więcej niż w 2011 r. </w:t>
      </w:r>
      <w:r w:rsidR="00247E6C">
        <w:t>(</w:t>
      </w:r>
      <w:r w:rsidR="009F4ACE">
        <w:t>332,7</w:t>
      </w:r>
      <w:r w:rsidR="00247E6C">
        <w:t>)</w:t>
      </w:r>
      <w:r w:rsidR="009F4ACE">
        <w:t xml:space="preserve">, ale </w:t>
      </w:r>
      <w:r w:rsidR="002D47AB">
        <w:lastRenderedPageBreak/>
        <w:t xml:space="preserve">wciąż </w:t>
      </w:r>
      <w:r w:rsidR="009F4ACE">
        <w:t xml:space="preserve">mniej niż przeciętna dla Polski </w:t>
      </w:r>
      <w:r w:rsidR="00F06FC1">
        <w:t>(</w:t>
      </w:r>
      <w:r w:rsidR="009F4ACE">
        <w:t xml:space="preserve">w 2021 r. </w:t>
      </w:r>
      <w:r>
        <w:t>400,4</w:t>
      </w:r>
      <w:r w:rsidR="009F4ACE">
        <w:t>)</w:t>
      </w:r>
      <w:r>
        <w:t>.</w:t>
      </w:r>
      <w:r w:rsidR="00CB1939">
        <w:t xml:space="preserve"> </w:t>
      </w:r>
      <w:r w:rsidR="001E4257">
        <w:t xml:space="preserve">Więcej mieszkań na 1000 ludności </w:t>
      </w:r>
      <w:r w:rsidR="00247E6C">
        <w:t xml:space="preserve">przypadało </w:t>
      </w:r>
      <w:r w:rsidR="001E4257">
        <w:t xml:space="preserve">w miastach </w:t>
      </w:r>
      <w:r w:rsidR="00B13AA4">
        <w:t xml:space="preserve">(441,1) </w:t>
      </w:r>
      <w:r w:rsidR="00247E6C">
        <w:t>niż na wsi</w:t>
      </w:r>
      <w:r w:rsidR="00B13AA4">
        <w:t xml:space="preserve"> (</w:t>
      </w:r>
      <w:r w:rsidR="00CB1939">
        <w:t>327,5</w:t>
      </w:r>
      <w:r w:rsidR="00B13AA4">
        <w:t>)</w:t>
      </w:r>
      <w:r w:rsidR="00CB1939">
        <w:t>. Najwyższą wartość wskaźnika</w:t>
      </w:r>
      <w:r w:rsidR="003A612C">
        <w:t xml:space="preserve"> odnotowano w mieście Kielce (479,1) oraz powiecie skarżyskim (424,2)</w:t>
      </w:r>
      <w:r w:rsidR="004975D2">
        <w:t>. N</w:t>
      </w:r>
      <w:r w:rsidR="003A612C">
        <w:t>aj</w:t>
      </w:r>
      <w:r w:rsidR="00CB1939">
        <w:t>niższą</w:t>
      </w:r>
      <w:r w:rsidR="003A612C">
        <w:t xml:space="preserve"> zaś w powiatach kieleckim (298,3) oraz kazimierskim (334,6).</w:t>
      </w:r>
      <w:r>
        <w:t xml:space="preserve"> </w:t>
      </w:r>
    </w:p>
    <w:p w14:paraId="4F607675" w14:textId="0B403ECE" w:rsidR="00D26F25" w:rsidRPr="000F6F27" w:rsidRDefault="007F440B" w:rsidP="00363354">
      <w:pPr>
        <w:spacing w:before="360"/>
        <w:rPr>
          <w:b/>
        </w:rPr>
      </w:pPr>
      <w:r w:rsidRPr="00C24301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1D15577C" wp14:editId="4869F7B6">
                <wp:simplePos x="0" y="0"/>
                <wp:positionH relativeFrom="column">
                  <wp:posOffset>5308600</wp:posOffset>
                </wp:positionH>
                <wp:positionV relativeFrom="margin">
                  <wp:posOffset>4952365</wp:posOffset>
                </wp:positionV>
                <wp:extent cx="1725295" cy="1141095"/>
                <wp:effectExtent l="0" t="0" r="0" b="1905"/>
                <wp:wrapTight wrapText="bothSides">
                  <wp:wrapPolygon edited="0">
                    <wp:start x="715" y="0"/>
                    <wp:lineTo x="715" y="21275"/>
                    <wp:lineTo x="20749" y="21275"/>
                    <wp:lineTo x="20749" y="0"/>
                    <wp:lineTo x="715" y="0"/>
                  </wp:wrapPolygon>
                </wp:wrapTight>
                <wp:docPr id="18" name="Pole tekstowe 18" descr="Przeciętna powierzchnia użytkowa mieszkania w województwie wyniosła 77,0 m2, a na 1 mieszkanie przypadało średnio 3,92 izby. To więcej niż przeciętnie w Polsc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1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8DF76" w14:textId="0B70C7EF" w:rsidR="002937D6" w:rsidRPr="0051499E" w:rsidRDefault="002937D6" w:rsidP="006D64CF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Przeciętna powierzchnia użytkowa mieszkania w województwie wyn</w:t>
                            </w:r>
                            <w:r w:rsidR="00F06FC1">
                              <w:t>iosła</w:t>
                            </w:r>
                            <w:r>
                              <w:t xml:space="preserve"> 77,0 m</w:t>
                            </w:r>
                            <w:r w:rsidRPr="006D64CF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, a na 1 mieszkanie przypadało średnio 3,92 izby. To więcej niż przeciętnie w Po</w:t>
                            </w:r>
                            <w:r w:rsidR="00F06FC1">
                              <w:t>l</w:t>
                            </w:r>
                            <w:r>
                              <w:t>sce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577C" id="Pole tekstowe 18" o:spid="_x0000_s1029" type="#_x0000_t202" alt="Przeciętna powierzchnia użytkowa mieszkania w województwie wyniosła 77,0 m2, a na 1 mieszkanie przypadało średnio 3,92 izby. To więcej niż przeciętnie w Polsce." style="position:absolute;margin-left:418pt;margin-top:389.95pt;width:135.85pt;height:89.8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G8lAIAALMEAAAOAAAAZHJzL2Uyb0RvYy54bWysVMFu2zAMvQ/YPxA6d3HsJksT1Cm6dhsG&#10;dFuBdh+gyHKsxhY9Sa0SH/sXwz5j1962/NcoOW2D7TbMB0ESxUe+R9LHJ+umhjtprEKds3QwZCC1&#10;wELpZc6+XL97dcTAOq4LXqOWOdtIy07mL18c+3YmM6ywLqQBAtF25tucVc61sySxopINtwNspSZj&#10;iabhjo5mmRSGe0Jv6iQbDl8nHk3RGhTSWro9741sHvHLUgr3uSytdFDnjHJzcTVxXYQ1mR/z2dLw&#10;tlJilwb/hywarjQFfYI6547DrVF/QTVKGLRYuoHAJsGyVEJGDsQmHf7B5qrirYxcSBzbPslk/x+s&#10;+HR3aUAVVDuqlOYN1egSawlOrqxDLyHcF9IKEu3SdFKoX9+c5tCiV9J0otKKmG4fNm6FnkOjpO1W&#10;PFx68Hgj/c8fRefoLfiNVmi39xwmk4MhNNkBcIoI6bOThNZ0m5YXfHuPsP1uZEE+cHgwzUB1i80A&#10;rhE8ZSDkDWi1fQjvdymFCECpWyEHoay+tTNid9USP7d+g2uiGEtk2wsUKwsazyqul/LUGPSV5AXJ&#10;mgbPZM+1x7EBZOE/YkHy8FuHEWhdmibUnKoIhE7ttXlqKbl2IELISTbOpmMGgmxpOkqHdAgx+OzR&#10;vTXWvZfYEBdL/WmoZyM8v7uwrn/6+CRE0/hO1TXd81mtwedsOs7G0WHP0ihHY1WrJmdHw/D1jR5Y&#10;vtVFdHZc1f2ecqn1jnZg2nN268U6Nsbho5oLLDakg8F+imjqaVOh6Rh4mqCc2a+33EgG9QdNWk7T&#10;0SiMXDyMxpOMDmbfsti3cC0IKmeOQb89c3FMe8qnpHmpohqhOH0mu5RpMqKeuykOo7d/jq+e/zXz&#10;3wAAAP//AwBQSwMEFAAGAAgAAAAhAFzirfXgAAAADAEAAA8AAABkcnMvZG93bnJldi54bWxMj81O&#10;wzAQhO9IvIO1SNyoXaBJHbKpEIgriPIjcXPjbRIRr6PYbcLb457gOJrRzDflZna9ONIYOs8Iy4UC&#10;QVx723GD8P72dLUGEaJha3rPhPBDATbV+VlpCusnfqXjNjYilXAoDEIb41BIGeqWnAkLPxAnb+9H&#10;Z2KSYyPtaKZU7np5rVQmnek4LbRmoIeW6u/twSF8PO+/Pm/VS/PoVsPkZyXZaYl4eTHf34GINMe/&#10;MJzwEzpUiWnnD2yD6BHWN1n6EhHyXGsQp8RS5TmIHYJe6QxkVcr/J6pfAAAA//8DAFBLAQItABQA&#10;BgAIAAAAIQC2gziS/gAAAOEBAAATAAAAAAAAAAAAAAAAAAAAAABbQ29udGVudF9UeXBlc10ueG1s&#10;UEsBAi0AFAAGAAgAAAAhADj9If/WAAAAlAEAAAsAAAAAAAAAAAAAAAAALwEAAF9yZWxzLy5yZWxz&#10;UEsBAi0AFAAGAAgAAAAhABUT4byUAgAAswQAAA4AAAAAAAAAAAAAAAAALgIAAGRycy9lMm9Eb2Mu&#10;eG1sUEsBAi0AFAAGAAgAAAAhAFzirfXgAAAADAEAAA8AAAAAAAAAAAAAAAAA7gQAAGRycy9kb3du&#10;cmV2LnhtbFBLBQYAAAAABAAEAPMAAAD7BQAAAAA=&#10;" filled="f" stroked="f">
                <v:textbox>
                  <w:txbxContent>
                    <w:p w14:paraId="32F8DF76" w14:textId="0B70C7EF" w:rsidR="002937D6" w:rsidRPr="0051499E" w:rsidRDefault="002937D6" w:rsidP="006D64CF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Przeciętna powierzchnia użytkowa mieszkania w województwie wyn</w:t>
                      </w:r>
                      <w:r w:rsidR="00F06FC1">
                        <w:t>iosła</w:t>
                      </w:r>
                      <w:r>
                        <w:t xml:space="preserve"> 77,0 m</w:t>
                      </w:r>
                      <w:r w:rsidRPr="006D64CF">
                        <w:rPr>
                          <w:vertAlign w:val="superscript"/>
                        </w:rPr>
                        <w:t>2</w:t>
                      </w:r>
                      <w:r>
                        <w:t>, a na 1 mieszkanie przypadało średnio 3,92 izby. To więcej niż przeciętnie w Po</w:t>
                      </w:r>
                      <w:r w:rsidR="00F06FC1">
                        <w:t>l</w:t>
                      </w:r>
                      <w:r>
                        <w:t>sce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363354">
        <w:rPr>
          <w:b/>
          <w:noProof/>
        </w:rPr>
        <w:drawing>
          <wp:anchor distT="0" distB="0" distL="114300" distR="114300" simplePos="0" relativeHeight="251847680" behindDoc="0" locked="0" layoutInCell="1" allowOverlap="1" wp14:anchorId="46018463" wp14:editId="4B630365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5044440" cy="3962400"/>
            <wp:effectExtent l="0" t="0" r="3810" b="0"/>
            <wp:wrapTopAndBottom/>
            <wp:docPr id="5" name="Obraz 5" descr="Mapa 1. Na kartogramie zasoby mieszkaniowe na 1000 ludności w województwie świętokrzyskim w podziale na powiaty. Na diagramach struktura miasto/wieś dla poszczególnych powia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0DE">
        <w:rPr>
          <w:b/>
        </w:rPr>
        <w:t>Mapa</w:t>
      </w:r>
      <w:r w:rsidR="00B600DE" w:rsidRPr="00284B1F">
        <w:rPr>
          <w:b/>
        </w:rPr>
        <w:t xml:space="preserve"> 1. </w:t>
      </w:r>
      <w:r w:rsidR="00C274F2">
        <w:rPr>
          <w:b/>
        </w:rPr>
        <w:t>Zasoby mieszkaniowe</w:t>
      </w:r>
      <w:r w:rsidR="00B275B2">
        <w:rPr>
          <w:b/>
        </w:rPr>
        <w:t xml:space="preserve"> w 2021 r.</w:t>
      </w:r>
      <w:r w:rsidR="00C274F2">
        <w:rPr>
          <w:b/>
        </w:rPr>
        <w:t xml:space="preserve"> (stan w dniu 31 marca)</w:t>
      </w:r>
    </w:p>
    <w:p w14:paraId="53B8FE7F" w14:textId="3F3A4A37" w:rsidR="00363354" w:rsidRDefault="00363354" w:rsidP="007F440B">
      <w:pPr>
        <w:spacing w:line="288" w:lineRule="auto"/>
      </w:pPr>
      <w:r>
        <w:t>Warunki mieszkaniowe w województwie świętokrzyskim w ciągu dekady uległy znaczącej poprawie. Według wstępnych wyników NSP 2021 przeciętna powierzchnia użytkowa mieszkania w województwie świętokrzyskim wyniosła 77,0 m</w:t>
      </w:r>
      <w:r w:rsidRPr="00F6582E">
        <w:rPr>
          <w:vertAlign w:val="superscript"/>
        </w:rPr>
        <w:t>2</w:t>
      </w:r>
      <w:r>
        <w:t>, tj. o 4,3</w:t>
      </w:r>
      <w:r w:rsidR="00F06FC1">
        <w:t xml:space="preserve"> </w:t>
      </w:r>
      <w:r>
        <w:t>m</w:t>
      </w:r>
      <w:r w:rsidRPr="003919F7">
        <w:rPr>
          <w:vertAlign w:val="superscript"/>
        </w:rPr>
        <w:t>2</w:t>
      </w:r>
      <w:r>
        <w:t xml:space="preserve"> więcej niż w 2011 r. i o 2,0 m</w:t>
      </w:r>
      <w:r w:rsidRPr="003919F7">
        <w:rPr>
          <w:vertAlign w:val="superscript"/>
        </w:rPr>
        <w:t>2</w:t>
      </w:r>
      <w:r>
        <w:t xml:space="preserve"> więcej niż średnia dla Polski w 2021 r. Mieszkania o największej przeciętnej powierzchni użytkowej znajdowały się w powiatach kieleckim oraz kazimierskim (po 94,5</w:t>
      </w:r>
      <w:r w:rsidR="00126DDA">
        <w:t xml:space="preserve"> </w:t>
      </w:r>
      <w:r>
        <w:t>m</w:t>
      </w:r>
      <w:r w:rsidRPr="00C73A4C">
        <w:rPr>
          <w:vertAlign w:val="superscript"/>
        </w:rPr>
        <w:t>2</w:t>
      </w:r>
      <w:r>
        <w:t>). Najmniejsze mieszkania zlokalizowane były w mieście Kielce (59,6</w:t>
      </w:r>
      <w:r w:rsidR="00126DDA">
        <w:t xml:space="preserve"> </w:t>
      </w:r>
      <w:r>
        <w:t>m</w:t>
      </w:r>
      <w:r w:rsidRPr="00C73A4C">
        <w:rPr>
          <w:vertAlign w:val="superscript"/>
        </w:rPr>
        <w:t>2</w:t>
      </w:r>
      <w:r>
        <w:t>) oraz powiatach skarżyskim (65,9</w:t>
      </w:r>
      <w:r w:rsidR="00126DDA">
        <w:t xml:space="preserve"> </w:t>
      </w:r>
      <w:r>
        <w:t>m</w:t>
      </w:r>
      <w:r w:rsidRPr="00C73A4C">
        <w:rPr>
          <w:vertAlign w:val="superscript"/>
        </w:rPr>
        <w:t>2</w:t>
      </w:r>
      <w:r>
        <w:t>) i ostrowieckim (69,9 m</w:t>
      </w:r>
      <w:r w:rsidRPr="00C73A4C">
        <w:rPr>
          <w:vertAlign w:val="superscript"/>
        </w:rPr>
        <w:t>2</w:t>
      </w:r>
      <w:r>
        <w:t>).</w:t>
      </w:r>
    </w:p>
    <w:p w14:paraId="20910F22" w14:textId="32D177FE" w:rsidR="007F440B" w:rsidRDefault="007F440B" w:rsidP="007F440B">
      <w:pPr>
        <w:spacing w:line="288" w:lineRule="auto"/>
      </w:pPr>
      <w:r>
        <w:t xml:space="preserve">W 2021 r. przeciętna liczba izb przypadająca na 1 mieszkanie w województwie świętokrzyskim wyniosła 3,92 i w porównaniu do 2011 r. </w:t>
      </w:r>
      <w:r w:rsidR="00B2760A">
        <w:t>wzrosła</w:t>
      </w:r>
      <w:r>
        <w:t xml:space="preserve"> o 0,19. </w:t>
      </w:r>
      <w:r w:rsidR="00472267">
        <w:t>Przeciętne mieszkanie w województwie świętokrzyskim składało się z większej liczby izb niż przeciętne mieszkanie w Polsce, gdzie</w:t>
      </w:r>
      <w:r w:rsidR="00B2760A">
        <w:t xml:space="preserve"> wskaźnik ten wyn</w:t>
      </w:r>
      <w:r w:rsidR="00472267">
        <w:t>iósł</w:t>
      </w:r>
      <w:r w:rsidR="00B2760A">
        <w:t xml:space="preserve"> 3,85. Największą liczbę izb </w:t>
      </w:r>
      <w:r w:rsidR="00472267">
        <w:t xml:space="preserve">w województwie </w:t>
      </w:r>
      <w:r w:rsidR="00B2760A">
        <w:t>w przeliczeniu na 1 mieszkanie odnotowano</w:t>
      </w:r>
      <w:r>
        <w:t xml:space="preserve"> w powiatach: kieleckim (4,53), kazimierskim (4,43), buskim (4,33) oraz staszowskim (4,31). </w:t>
      </w:r>
      <w:r w:rsidR="00B2760A">
        <w:t xml:space="preserve">Z kolei najmniej </w:t>
      </w:r>
      <w:r>
        <w:t>izb na 1 mieszkanie przypadało w mieście Kielce (3,34) oraz powiatach: skarżyskim (3,66), opatowskim (3,71), starachowickim (3,73), ostrowieckim (3,76) i koneckim (3,81).</w:t>
      </w:r>
    </w:p>
    <w:p w14:paraId="31060221" w14:textId="77777777" w:rsidR="007F440B" w:rsidRPr="00C73A4C" w:rsidRDefault="007F440B" w:rsidP="007F440B">
      <w:pPr>
        <w:spacing w:line="288" w:lineRule="auto"/>
        <w:rPr>
          <w:b/>
        </w:rPr>
      </w:pPr>
    </w:p>
    <w:p w14:paraId="0ADAE988" w14:textId="1532550C" w:rsidR="00D26F25" w:rsidRPr="00C73A4C" w:rsidRDefault="00D26F25" w:rsidP="00363354">
      <w:pPr>
        <w:spacing w:line="288" w:lineRule="auto"/>
        <w:rPr>
          <w:b/>
        </w:rPr>
      </w:pPr>
    </w:p>
    <w:p w14:paraId="74189620" w14:textId="784C66C4" w:rsidR="00F30FCF" w:rsidRPr="00EF6AD2" w:rsidRDefault="00E04FBC" w:rsidP="00363354">
      <w:pPr>
        <w:pageBreakBefore/>
        <w:spacing w:before="240"/>
        <w:rPr>
          <w:b/>
          <w:vertAlign w:val="superscript"/>
        </w:rPr>
      </w:pPr>
      <w:r w:rsidRPr="00C24301">
        <w:rPr>
          <w:b/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272E4B2B" wp14:editId="4298A48F">
                <wp:simplePos x="0" y="0"/>
                <wp:positionH relativeFrom="page">
                  <wp:posOffset>5753100</wp:posOffset>
                </wp:positionH>
                <wp:positionV relativeFrom="margin">
                  <wp:posOffset>4177201</wp:posOffset>
                </wp:positionV>
                <wp:extent cx="1725295" cy="1339850"/>
                <wp:effectExtent l="0" t="0" r="0" b="0"/>
                <wp:wrapTight wrapText="bothSides">
                  <wp:wrapPolygon edited="0">
                    <wp:start x="715" y="0"/>
                    <wp:lineTo x="715" y="21191"/>
                    <wp:lineTo x="20749" y="21191"/>
                    <wp:lineTo x="20749" y="0"/>
                    <wp:lineTo x="715" y="0"/>
                  </wp:wrapPolygon>
                </wp:wrapTight>
                <wp:docPr id="21" name="Pole tekstowe 21" descr="Wśród podmiotów będących właścicielami mieszkań najliczniejszą grupę stanowiły osoby fizyczne – 81,8% ogólnej liczby mieszkań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98D2" w14:textId="628793E2" w:rsidR="002937D6" w:rsidRPr="0051499E" w:rsidRDefault="002937D6" w:rsidP="006855D0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Wśród podmiotów będących właścicielami mieszkań najliczniejszą grupę stanowiły osoby fizyczne – 81,8% ogólnej liczby mieszkań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4B2B" id="Pole tekstowe 21" o:spid="_x0000_s1030" type="#_x0000_t202" alt="Wśród podmiotów będących właścicielami mieszkań najliczniejszą grupę stanowiły osoby fizyczne – 81,8% ogólnej liczby mieszkań." style="position:absolute;margin-left:453pt;margin-top:328.9pt;width:135.85pt;height:105.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fmkgIAAJcEAAAOAAAAZHJzL2Uyb0RvYy54bWysVMFuEzEQvSPxDyNL3CCbpAlNom6q0gJC&#10;KlCpIM6O15t16/UsttNNckIV/QJOVT+jn9DkR/gSxt40RHBD5GDZO57neW/e5OBwXmq4ktYpNCnr&#10;tNoMpBGYKTNN2edPb14MGDjPTcY1GpmyhXTscPz0yUFdjWQXC9SZtEAgxo3qKmWF99UoSZwoZMld&#10;CytpKJijLbmno50mmeU1oZc66bbbL5MabVZZFNI5+nrSBNk44ue5FP5jnjvpQaeMavNxtXGdhDUZ&#10;H/DR1PKqUGJTBv+HKkquDD26hTrhnsPMqr+gSiUsOsx9S2CZYJ4rISMHYtNp/8HmvOCVjFxIHFdt&#10;ZXL/D1Z8uDqzoLKUdTsMDC+pR2eoJXh56TzWEsL3TDpBon1Z39mH+wwqzEqF/uG+hsnqNlvdiIUo&#10;oF5f8/WdUEJJzUsFpZJuecnX3wn2QiuxNEpeuOXqBqZ2Vq1uoy+wVuvrBZAkkwXkarmgaxJ+fvsB&#10;g87zwTPA6cO9NvICAgBd2YK2Quvqyo2IwXlFHPz8Fc7JgrENrjpFcenA4HHBzVQeWYt1IXlG0nVC&#10;ZrKT2uC4ADKp32NGEvCZxwg0z20Z+kqdAkInCy22tpFzDyI8ud/td4d9BoJinb294aAfjZXw0WN6&#10;ZZ1/K7GEsEmZJV9GeH516nwoh48er4TXDL5RWkdvagN1yob9bj8m7ERK5Wl0tCpTNmiHX2PmwPK1&#10;yWKy50o3e3pAmw3twLTh7OeTeWx+71HNCWYL0sFiMyk02bQp0C4Z1DQlKXNfZ9xKBvqdIS2HnV4v&#10;jFU89Pr7XTrY3chkN8KNIKiUeQbN9tjHUWwoH5HmuYpqhOY0lWxKJvdHkTaTGsZr9xxv/f4/Gf8C&#10;AAD//wMAUEsDBBQABgAIAAAAIQCiyfCW4AAAAAwBAAAPAAAAZHJzL2Rvd25yZXYueG1sTI/BTsMw&#10;EETvSPyDtUjcqF3UJmnIpkJUXEG0BYmbG2+TiHgdxW4T/h73RI+rHc28V6wn24kzDb51jDCfKRDE&#10;lTMt1wj73etDBsIHzUZ3jgnhlzysy9ubQufGjfxB522oRSxhn2uEJoQ+l9JXDVntZ64njr+jG6wO&#10;8RxqaQY9xnLbyUelEml1y3Gh0T29NFT9bE8W4fPt+P21UO/1xi770U1Ksl1JxPu76fkJRKAp/Ifh&#10;gh/RoYxMB3di40WHsFJJdAkIyTKNDpfEPE1TEAeELMkykGUhryXKPwAAAP//AwBQSwECLQAUAAYA&#10;CAAAACEAtoM4kv4AAADhAQAAEwAAAAAAAAAAAAAAAAAAAAAAW0NvbnRlbnRfVHlwZXNdLnhtbFBL&#10;AQItABQABgAIAAAAIQA4/SH/1gAAAJQBAAALAAAAAAAAAAAAAAAAAC8BAABfcmVscy8ucmVsc1BL&#10;AQItABQABgAIAAAAIQCtHbfmkgIAAJcEAAAOAAAAAAAAAAAAAAAAAC4CAABkcnMvZTJvRG9jLnht&#10;bFBLAQItABQABgAIAAAAIQCiyfCW4AAAAAwBAAAPAAAAAAAAAAAAAAAAAOwEAABkcnMvZG93bnJl&#10;di54bWxQSwUGAAAAAAQABADzAAAA+QUAAAAA&#10;" filled="f" stroked="f">
                <v:textbox>
                  <w:txbxContent>
                    <w:p w14:paraId="28A198D2" w14:textId="628793E2" w:rsidR="002937D6" w:rsidRPr="0051499E" w:rsidRDefault="002937D6" w:rsidP="006855D0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Wśród podmiotów będących właścicielami mieszkań najliczniejszą grupę stanowiły osoby fizyczne – 81,8% ogólnej liczby mieszkań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7E4293">
        <w:rPr>
          <w:noProof/>
        </w:rPr>
        <w:drawing>
          <wp:anchor distT="0" distB="0" distL="114300" distR="114300" simplePos="0" relativeHeight="251848704" behindDoc="0" locked="0" layoutInCell="1" allowOverlap="1" wp14:anchorId="1D03A81D" wp14:editId="4FE3C946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5044440" cy="3962400"/>
            <wp:effectExtent l="0" t="0" r="3810" b="0"/>
            <wp:wrapTopAndBottom/>
            <wp:docPr id="16" name="Obraz 16" descr="Mapa 2. Na kartogramie przeciętna powierzchnia użytkowa mieszkań w 2021 r. w województwie świętokrzyskim w podziale na powiaty. Na diagramach wzrost przeciętnej powierzchni użytkowej mieszkań w porównaniu do 201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FCF">
        <w:rPr>
          <w:b/>
        </w:rPr>
        <w:t>Mapa</w:t>
      </w:r>
      <w:r w:rsidR="00F30FCF" w:rsidRPr="00284B1F">
        <w:rPr>
          <w:b/>
        </w:rPr>
        <w:t xml:space="preserve"> </w:t>
      </w:r>
      <w:r w:rsidR="00F30FCF">
        <w:rPr>
          <w:b/>
        </w:rPr>
        <w:t>2</w:t>
      </w:r>
      <w:r w:rsidR="00F30FCF" w:rsidRPr="00284B1F">
        <w:rPr>
          <w:b/>
        </w:rPr>
        <w:t xml:space="preserve">. </w:t>
      </w:r>
      <w:r w:rsidR="00F30FCF">
        <w:rPr>
          <w:b/>
        </w:rPr>
        <w:t>Przeciętna powierzchnia użytkowa mieszkań w 2021 r. (stan w dniu 31 marca)</w:t>
      </w:r>
    </w:p>
    <w:p w14:paraId="4F440499" w14:textId="74EDEB4C" w:rsidR="004B33F0" w:rsidRDefault="00D64FA1" w:rsidP="006855D0">
      <w:pPr>
        <w:spacing w:line="288" w:lineRule="auto"/>
      </w:pPr>
      <w:r w:rsidRPr="00C4184B">
        <w:t>W porównaniu ze spisem przeprowadzonym w 20</w:t>
      </w:r>
      <w:r w:rsidR="00C4184B">
        <w:t>11</w:t>
      </w:r>
      <w:r w:rsidRPr="00C4184B">
        <w:t xml:space="preserve"> r. </w:t>
      </w:r>
      <w:r w:rsidR="00C4184B">
        <w:t xml:space="preserve">znacznie </w:t>
      </w:r>
      <w:r w:rsidRPr="00C4184B">
        <w:t xml:space="preserve">zwiększyła się </w:t>
      </w:r>
      <w:r w:rsidR="00DC71BC">
        <w:t>liczba</w:t>
      </w:r>
      <w:r w:rsidRPr="00C4184B">
        <w:t xml:space="preserve"> właścicieli mieszkań</w:t>
      </w:r>
      <w:r w:rsidR="00C4184B" w:rsidRPr="00C4184B">
        <w:t xml:space="preserve"> </w:t>
      </w:r>
      <w:r w:rsidRPr="00C4184B">
        <w:t xml:space="preserve">będących osobami fizycznymi, przy jednoczesnym spadku liczby mieszkań pozostających </w:t>
      </w:r>
      <w:r w:rsidR="00C4184B">
        <w:t>własnością</w:t>
      </w:r>
      <w:r w:rsidR="00DC71BC">
        <w:t>:</w:t>
      </w:r>
      <w:r w:rsidRPr="00C4184B">
        <w:t xml:space="preserve"> </w:t>
      </w:r>
      <w:r w:rsidR="00747B75">
        <w:t xml:space="preserve">spółdzielni mieszkaniowych, </w:t>
      </w:r>
      <w:r w:rsidR="00C4184B">
        <w:t>gmin, Skarbu Państwa, zakładów pracy oraz towarzystw budownictwa społecznego</w:t>
      </w:r>
      <w:r w:rsidRPr="00C4184B">
        <w:t>.</w:t>
      </w:r>
    </w:p>
    <w:p w14:paraId="0EAB96E7" w14:textId="7B40B245" w:rsidR="007F03D1" w:rsidRPr="00C4184B" w:rsidRDefault="00946B63" w:rsidP="006855D0">
      <w:pPr>
        <w:spacing w:line="288" w:lineRule="auto"/>
      </w:pPr>
      <w:r>
        <w:t xml:space="preserve">Wśród podmiotów będących właścicielami mieszkań najliczniejszą grupę stanowiły </w:t>
      </w:r>
      <w:r w:rsidR="00626DA1">
        <w:t xml:space="preserve">właśnie </w:t>
      </w:r>
      <w:r>
        <w:t xml:space="preserve">osoby fizyczne. Według wyników NSP 2021 </w:t>
      </w:r>
      <w:r w:rsidR="00DC71BC">
        <w:t>w ich zasobach pozostawało</w:t>
      </w:r>
      <w:r>
        <w:t xml:space="preserve"> </w:t>
      </w:r>
      <w:r w:rsidR="008B5DD5">
        <w:t>370,4 tys. mieszkań</w:t>
      </w:r>
      <w:r w:rsidR="00DC71BC">
        <w:t xml:space="preserve"> – </w:t>
      </w:r>
      <w:r w:rsidR="008B5DD5">
        <w:t xml:space="preserve">o </w:t>
      </w:r>
      <w:r w:rsidR="009B7350">
        <w:t>59,7 tys.</w:t>
      </w:r>
      <w:r w:rsidR="008B5DD5">
        <w:t xml:space="preserve"> więcej niż w 2011 r.</w:t>
      </w:r>
      <w:r w:rsidR="00DC71BC">
        <w:t xml:space="preserve"> </w:t>
      </w:r>
      <w:r w:rsidR="00812968">
        <w:t xml:space="preserve">Przełożyło się to na </w:t>
      </w:r>
      <w:r w:rsidR="00DC71BC">
        <w:t xml:space="preserve">wzrost udziału mieszkań stanowiących własność osób fizycznych w </w:t>
      </w:r>
      <w:r w:rsidR="00355762">
        <w:t xml:space="preserve">zasobach </w:t>
      </w:r>
      <w:r w:rsidR="00DC71BC">
        <w:t>mieszkani</w:t>
      </w:r>
      <w:r w:rsidR="00355762">
        <w:t>owych</w:t>
      </w:r>
      <w:r w:rsidR="00DC71BC">
        <w:t xml:space="preserve"> ogółem z 72,9% </w:t>
      </w:r>
      <w:r w:rsidR="009B7350">
        <w:t xml:space="preserve">w 2011 r. </w:t>
      </w:r>
      <w:r w:rsidR="00DC71BC">
        <w:t>do 81,8% w 2021 r.</w:t>
      </w:r>
      <w:r w:rsidR="005E7751">
        <w:t xml:space="preserve"> Drugą pozycję pod względem </w:t>
      </w:r>
      <w:r w:rsidR="00812968">
        <w:t xml:space="preserve">wielkości </w:t>
      </w:r>
      <w:r w:rsidR="005E7751">
        <w:t xml:space="preserve">udziału </w:t>
      </w:r>
      <w:r w:rsidR="009B7350">
        <w:t>w zasobach mieszkaniowych zajmowały zasoby spółdzielni mieszkaniowych</w:t>
      </w:r>
      <w:r w:rsidR="00497098" w:rsidRPr="00497098">
        <w:t xml:space="preserve">. </w:t>
      </w:r>
      <w:r w:rsidR="00DD524A">
        <w:t xml:space="preserve">Od 2011 r. </w:t>
      </w:r>
      <w:r w:rsidR="00497098" w:rsidRPr="00497098">
        <w:t xml:space="preserve">liczba ich zasobów </w:t>
      </w:r>
      <w:r w:rsidR="00700C1C" w:rsidRPr="00497098">
        <w:t xml:space="preserve">zmniejszyła się o 0,1 tys. mieszkań do 63,0 tys. w 2021 r., </w:t>
      </w:r>
      <w:r w:rsidR="00497098" w:rsidRPr="00497098">
        <w:t xml:space="preserve">a </w:t>
      </w:r>
      <w:r w:rsidR="00700C1C" w:rsidRPr="00497098">
        <w:t xml:space="preserve">udział </w:t>
      </w:r>
      <w:r w:rsidR="00497098" w:rsidRPr="00497098">
        <w:t>obniżył się z 14,</w:t>
      </w:r>
      <w:r w:rsidR="00497098">
        <w:t>8% do 13,9%.</w:t>
      </w:r>
      <w:r w:rsidR="009B7350">
        <w:t xml:space="preserve"> </w:t>
      </w:r>
      <w:r w:rsidR="00F33AB0">
        <w:t xml:space="preserve">Zasoby gminne </w:t>
      </w:r>
      <w:r w:rsidR="00EF16B1">
        <w:t xml:space="preserve">obejmowały 9,1 tys. mieszkań, co stanowiło 2,0% </w:t>
      </w:r>
      <w:r w:rsidR="00E04FBC">
        <w:t>ogólnej liczby mieszkań</w:t>
      </w:r>
      <w:r w:rsidR="00EF16B1">
        <w:t xml:space="preserve"> (5,3% w 2011 r.). Liczba mieszkań gminnych w porównaniu do 2011 r. zmniejszyła się aż o 13,4 tys. Zmniejszeniu uległy również zasoby</w:t>
      </w:r>
      <w:r w:rsidR="00C21B8F">
        <w:t xml:space="preserve"> mieszkaniowe: zakładów pracy – o 4,3 tys. mieszkań, Skarbu Państwa – o 1,8 tys.</w:t>
      </w:r>
      <w:r w:rsidR="00B539C7">
        <w:t xml:space="preserve"> </w:t>
      </w:r>
      <w:r w:rsidR="00C21B8F">
        <w:t>oraz towarzystw budownictwa społecznego – o 0,1 tys. Łączn</w:t>
      </w:r>
      <w:r w:rsidR="000C1CF8">
        <w:t>ie</w:t>
      </w:r>
      <w:r w:rsidR="00C21B8F">
        <w:t xml:space="preserve"> zasoby mieszkaniowe tych trzech podmiotów </w:t>
      </w:r>
      <w:r w:rsidR="000C1CF8">
        <w:t xml:space="preserve">w 2021 r. </w:t>
      </w:r>
      <w:r w:rsidR="00C21B8F">
        <w:t>wyn</w:t>
      </w:r>
      <w:r w:rsidR="00497098">
        <w:t>iosły</w:t>
      </w:r>
      <w:r w:rsidR="00C21B8F">
        <w:t xml:space="preserve"> zaledwie 2,1 tys. mieszkań (0,5% </w:t>
      </w:r>
      <w:r w:rsidR="00E04FBC">
        <w:t>ogólnej liczby mieszkań</w:t>
      </w:r>
      <w:r w:rsidR="00C21B8F">
        <w:t>).</w:t>
      </w:r>
    </w:p>
    <w:p w14:paraId="6DE3ED6F" w14:textId="4C8E7ED0" w:rsidR="00886373" w:rsidRDefault="00936EBF" w:rsidP="006855D0">
      <w:pPr>
        <w:spacing w:line="288" w:lineRule="auto"/>
      </w:pPr>
      <w:r>
        <w:t xml:space="preserve">Na przestrzeni dekady dzielącej NSP 2021 i NSP 2011 obserwowano spadek zasobów mieszkaniowych znajdujących się w budynkach wybudowanych przed 1989 r. </w:t>
      </w:r>
      <w:r w:rsidR="00F23D9E">
        <w:t>Zasoby te przeważnie cechują się niższym niż przeciętnie standardem</w:t>
      </w:r>
      <w:r w:rsidR="004D567B">
        <w:t>,</w:t>
      </w:r>
      <w:r w:rsidR="00F23D9E">
        <w:t xml:space="preserve"> w przeciwieństwie do zasobów mieszkaniowych nowego budownictwa. </w:t>
      </w:r>
      <w:r w:rsidR="00FF09BD">
        <w:t xml:space="preserve">Według stanu na dzień 31 marca 2021 r. liczba mieszkań znajdujących się w budynkach wybudowanych przed 1945 r. </w:t>
      </w:r>
      <w:r w:rsidR="007A52EE">
        <w:t xml:space="preserve">zmniejszyła się w porównaniu do 2011 r. o 8,1 tys. i </w:t>
      </w:r>
      <w:r w:rsidR="00FF09BD">
        <w:t>wyn</w:t>
      </w:r>
      <w:r w:rsidR="007A52EE">
        <w:t>osiła</w:t>
      </w:r>
      <w:r w:rsidR="00FF09BD">
        <w:t xml:space="preserve"> 32,0 tys.</w:t>
      </w:r>
      <w:r w:rsidR="007A52EE">
        <w:t xml:space="preserve"> (</w:t>
      </w:r>
      <w:r w:rsidR="00FF09BD">
        <w:t xml:space="preserve">7,1% </w:t>
      </w:r>
      <w:r w:rsidR="007A52EE">
        <w:t>ogólnej liczby mieszkań)</w:t>
      </w:r>
      <w:r w:rsidR="00FF09BD">
        <w:t xml:space="preserve">. </w:t>
      </w:r>
      <w:r w:rsidR="007A52EE">
        <w:t>Zmniejszyła się również liczba mieszkań</w:t>
      </w:r>
      <w:r w:rsidR="00FF09BD">
        <w:t xml:space="preserve"> znajdując</w:t>
      </w:r>
      <w:r w:rsidR="007A52EE">
        <w:t>ych</w:t>
      </w:r>
      <w:r w:rsidR="00FF09BD">
        <w:t xml:space="preserve"> się budynkach wybudowanych w latach 1945–1988 </w:t>
      </w:r>
      <w:r w:rsidR="007A52EE">
        <w:t>(o 12,6 tys.)</w:t>
      </w:r>
      <w:r w:rsidR="00413078">
        <w:t xml:space="preserve"> i wyniosła 279,4 tys. </w:t>
      </w:r>
      <w:r w:rsidR="007A52EE">
        <w:t xml:space="preserve">Mieszkania te </w:t>
      </w:r>
      <w:r w:rsidR="00FF09BD">
        <w:t>stanowiły 61,7% zasobów mieszkaniowych ogółem</w:t>
      </w:r>
      <w:r w:rsidR="00413078">
        <w:t xml:space="preserve">. </w:t>
      </w:r>
      <w:r w:rsidR="002937D6">
        <w:t>Mieszkania najnowsze</w:t>
      </w:r>
      <w:r w:rsidR="001716B5">
        <w:t>,</w:t>
      </w:r>
      <w:r w:rsidR="005B7EAB">
        <w:t xml:space="preserve"> czyli znajdując</w:t>
      </w:r>
      <w:r w:rsidR="002937D6">
        <w:t>e</w:t>
      </w:r>
      <w:r w:rsidR="005B7EAB">
        <w:t xml:space="preserve"> się w budynkach wybudowanych po 1988 r. oraz budynkach będących w budowie</w:t>
      </w:r>
      <w:r w:rsidR="00DD524A">
        <w:t>,</w:t>
      </w:r>
      <w:r w:rsidR="001716B5">
        <w:t xml:space="preserve"> </w:t>
      </w:r>
      <w:r w:rsidR="00E42852">
        <w:t xml:space="preserve">stanowiły </w:t>
      </w:r>
      <w:r w:rsidR="005B7EAB">
        <w:t xml:space="preserve">29,5% </w:t>
      </w:r>
      <w:r w:rsidR="00E42852">
        <w:t>ogólnej liczby mieszkań, a ich liczba wyniosła 133,4 tys.</w:t>
      </w:r>
    </w:p>
    <w:p w14:paraId="1352B5D3" w14:textId="67F9B1DD" w:rsidR="009E2F92" w:rsidRDefault="009E2F92" w:rsidP="009E2F92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lastRenderedPageBreak/>
        <w:t>Wyposażenie mieszkań w instalacje</w:t>
      </w:r>
    </w:p>
    <w:p w14:paraId="7129517C" w14:textId="5462D8B8" w:rsidR="00CA0751" w:rsidRPr="00CA0751" w:rsidRDefault="00CA0751" w:rsidP="008815BA">
      <w:pPr>
        <w:spacing w:line="288" w:lineRule="auto"/>
        <w:rPr>
          <w:lang w:eastAsia="pl-PL"/>
        </w:rPr>
      </w:pPr>
      <w:r>
        <w:rPr>
          <w:lang w:eastAsia="pl-PL"/>
        </w:rPr>
        <w:t>Na przestrzeni dzie</w:t>
      </w:r>
      <w:r w:rsidR="00DD524A">
        <w:rPr>
          <w:lang w:eastAsia="pl-PL"/>
        </w:rPr>
        <w:t>s</w:t>
      </w:r>
      <w:r>
        <w:rPr>
          <w:lang w:eastAsia="pl-PL"/>
        </w:rPr>
        <w:t xml:space="preserve">ięciu lat w województwie świętokrzyskim wzrosła liczba mieszkań wyposażonych w podstawowe instalacje sanitarno-techniczne. </w:t>
      </w:r>
      <w:r w:rsidR="008815BA">
        <w:rPr>
          <w:lang w:eastAsia="pl-PL"/>
        </w:rPr>
        <w:t>Największy wzrost odnotowano w przypadku mieszkań wyposażonych w gaz z sieci (o 19,4%). Liczba mieszkań wyposażonych w centralne ogrzewanie wzrosła o 10,7%. W trzy podstawowe instalacje sanitarno-techniczne (wodociąg, ustęp i łazienkę) wyposażonych było o 9,5% więcej mieszkań niż w 2011 r.</w:t>
      </w:r>
    </w:p>
    <w:p w14:paraId="115270C7" w14:textId="7B69A929" w:rsidR="0038631B" w:rsidRPr="00BF4E1F" w:rsidRDefault="0038631B" w:rsidP="008E04CC">
      <w:pPr>
        <w:pStyle w:val="Tytutablicy"/>
      </w:pPr>
      <w:r w:rsidRPr="00BF4E1F">
        <w:t xml:space="preserve">Tablica </w:t>
      </w:r>
      <w:r>
        <w:t>1</w:t>
      </w:r>
      <w:r w:rsidRPr="00BF4E1F">
        <w:t>. Wyposażenie mieszkań w instalacje sanitarn</w:t>
      </w:r>
      <w:r>
        <w:t xml:space="preserve">o-techniczne </w:t>
      </w:r>
      <w:r w:rsidRPr="006E1E34">
        <w:t>(stan w dniu 31 marca)</w:t>
      </w:r>
    </w:p>
    <w:tbl>
      <w:tblPr>
        <w:tblW w:w="7797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Wyposażenie mieszkań w instalacje sanitarno-techniczne w latach 2011 i 2021"/>
        <w:tblDescription w:val="Mieszkania w latach 2011 i 2021 według wyposażenia w instalacj sanitarno techniczne. Dane w wartosciach bezwzględnych oraz zmiana w porówaniu do 2011 r."/>
      </w:tblPr>
      <w:tblGrid>
        <w:gridCol w:w="3119"/>
        <w:gridCol w:w="1559"/>
        <w:gridCol w:w="1559"/>
        <w:gridCol w:w="1560"/>
      </w:tblGrid>
      <w:tr w:rsidR="004043D2" w14:paraId="005D0EA0" w14:textId="77777777" w:rsidTr="008C40ED">
        <w:trPr>
          <w:trHeight w:val="456"/>
        </w:trPr>
        <w:tc>
          <w:tcPr>
            <w:tcW w:w="3119" w:type="dxa"/>
            <w:vMerge w:val="restart"/>
            <w:vAlign w:val="center"/>
          </w:tcPr>
          <w:p w14:paraId="6010A93D" w14:textId="7B2715DF" w:rsidR="004043D2" w:rsidRDefault="004043D2" w:rsidP="00F66BDE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559" w:type="dxa"/>
            <w:vAlign w:val="center"/>
          </w:tcPr>
          <w:p w14:paraId="7A398217" w14:textId="59992F08" w:rsidR="004043D2" w:rsidRDefault="004043D2" w:rsidP="00F66BD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2011</w:t>
            </w:r>
          </w:p>
        </w:tc>
        <w:tc>
          <w:tcPr>
            <w:tcW w:w="3119" w:type="dxa"/>
            <w:gridSpan w:val="2"/>
            <w:vAlign w:val="center"/>
          </w:tcPr>
          <w:p w14:paraId="4C1FF093" w14:textId="7FC57174" w:rsidR="004043D2" w:rsidRDefault="004043D2" w:rsidP="00F66BD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4043D2" w14:paraId="6A619204" w14:textId="77777777" w:rsidTr="00312541">
        <w:trPr>
          <w:trHeight w:val="456"/>
        </w:trPr>
        <w:tc>
          <w:tcPr>
            <w:tcW w:w="3119" w:type="dxa"/>
            <w:vMerge/>
            <w:vAlign w:val="center"/>
            <w:hideMark/>
          </w:tcPr>
          <w:p w14:paraId="03ECC18F" w14:textId="77777777" w:rsidR="004043D2" w:rsidRDefault="004043D2" w:rsidP="00F66BDE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3118" w:type="dxa"/>
            <w:gridSpan w:val="2"/>
            <w:vAlign w:val="center"/>
            <w:hideMark/>
          </w:tcPr>
          <w:p w14:paraId="64933B3C" w14:textId="547351AF" w:rsidR="004043D2" w:rsidRDefault="004043D2" w:rsidP="004043D2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tys</w:t>
            </w:r>
            <w:r w:rsidR="002E214B">
              <w:rPr>
                <w:rFonts w:eastAsia="Fira Sans Light" w:cs="Times New Roman"/>
              </w:rPr>
              <w:t>iącach</w:t>
            </w:r>
          </w:p>
        </w:tc>
        <w:tc>
          <w:tcPr>
            <w:tcW w:w="1560" w:type="dxa"/>
            <w:vAlign w:val="center"/>
          </w:tcPr>
          <w:p w14:paraId="7F545D43" w14:textId="25258D41" w:rsidR="004043D2" w:rsidRDefault="004043D2" w:rsidP="00F66BD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2011=100</w:t>
            </w:r>
          </w:p>
        </w:tc>
      </w:tr>
      <w:tr w:rsidR="004043D2" w:rsidRPr="00C91C89" w14:paraId="0EB9F93C" w14:textId="77777777" w:rsidTr="004043D2">
        <w:trPr>
          <w:trHeight w:val="283"/>
        </w:trPr>
        <w:tc>
          <w:tcPr>
            <w:tcW w:w="3119" w:type="dxa"/>
            <w:noWrap/>
            <w:vAlign w:val="bottom"/>
          </w:tcPr>
          <w:p w14:paraId="3C2BA036" w14:textId="77777777" w:rsidR="004043D2" w:rsidRPr="00A84EB2" w:rsidRDefault="004043D2" w:rsidP="00F66BDE">
            <w:pPr>
              <w:pStyle w:val="Tablicaboczek"/>
              <w:rPr>
                <w:b/>
              </w:rPr>
            </w:pPr>
            <w:r w:rsidRPr="00A84EB2">
              <w:rPr>
                <w:b/>
              </w:rPr>
              <w:t>Mieszkania ogółem</w:t>
            </w:r>
          </w:p>
        </w:tc>
        <w:tc>
          <w:tcPr>
            <w:tcW w:w="1559" w:type="dxa"/>
            <w:vAlign w:val="center"/>
          </w:tcPr>
          <w:p w14:paraId="70AE071D" w14:textId="08995977" w:rsidR="004043D2" w:rsidRPr="00A84EB2" w:rsidRDefault="004043D2" w:rsidP="00F66BDE">
            <w:pPr>
              <w:pStyle w:val="Tablicadanerodek"/>
              <w:rPr>
                <w:b/>
              </w:rPr>
            </w:pPr>
            <w:r w:rsidRPr="00A84EB2">
              <w:rPr>
                <w:b/>
              </w:rPr>
              <w:t>426,1</w:t>
            </w:r>
          </w:p>
        </w:tc>
        <w:tc>
          <w:tcPr>
            <w:tcW w:w="1559" w:type="dxa"/>
            <w:vAlign w:val="center"/>
          </w:tcPr>
          <w:p w14:paraId="5F53D905" w14:textId="6EFE5ABC" w:rsidR="004043D2" w:rsidRPr="00A84EB2" w:rsidRDefault="004043D2" w:rsidP="00F66BDE">
            <w:pPr>
              <w:pStyle w:val="Tablicadanerodek"/>
              <w:rPr>
                <w:b/>
              </w:rPr>
            </w:pPr>
            <w:r w:rsidRPr="00A84EB2">
              <w:rPr>
                <w:b/>
              </w:rPr>
              <w:t>453,1</w:t>
            </w:r>
          </w:p>
        </w:tc>
        <w:tc>
          <w:tcPr>
            <w:tcW w:w="1560" w:type="dxa"/>
            <w:vAlign w:val="center"/>
          </w:tcPr>
          <w:p w14:paraId="2EB98DD4" w14:textId="2CA8C750" w:rsidR="004043D2" w:rsidRPr="00A84EB2" w:rsidRDefault="004043D2" w:rsidP="00F66BDE">
            <w:pPr>
              <w:pStyle w:val="Tablicadanerodek"/>
              <w:rPr>
                <w:b/>
              </w:rPr>
            </w:pPr>
            <w:r w:rsidRPr="00A84EB2">
              <w:rPr>
                <w:b/>
              </w:rPr>
              <w:t>106,3</w:t>
            </w:r>
          </w:p>
        </w:tc>
      </w:tr>
      <w:tr w:rsidR="004043D2" w14:paraId="09EBC84D" w14:textId="77777777" w:rsidTr="004043D2">
        <w:trPr>
          <w:trHeight w:val="283"/>
        </w:trPr>
        <w:tc>
          <w:tcPr>
            <w:tcW w:w="3119" w:type="dxa"/>
            <w:noWrap/>
          </w:tcPr>
          <w:p w14:paraId="0F9B375C" w14:textId="77777777" w:rsidR="004043D2" w:rsidRPr="00A84EB2" w:rsidRDefault="004043D2" w:rsidP="00F66BDE">
            <w:pPr>
              <w:pStyle w:val="Tablicaboczekwcicie1"/>
              <w:ind w:left="176" w:firstLine="0"/>
              <w:rPr>
                <w:rFonts w:eastAsia="Times New Roman" w:cs="Calibri"/>
                <w:lang w:eastAsia="pl-PL"/>
              </w:rPr>
            </w:pPr>
            <w:r w:rsidRPr="00A84EB2">
              <w:t>w tym wyposażone w:</w:t>
            </w:r>
          </w:p>
        </w:tc>
        <w:tc>
          <w:tcPr>
            <w:tcW w:w="1559" w:type="dxa"/>
            <w:vAlign w:val="center"/>
          </w:tcPr>
          <w:p w14:paraId="50A77F9D" w14:textId="77777777" w:rsidR="004043D2" w:rsidRPr="00A84EB2" w:rsidRDefault="004043D2" w:rsidP="00F66BDE">
            <w:pPr>
              <w:pStyle w:val="Tablicadanerodek"/>
            </w:pPr>
          </w:p>
        </w:tc>
        <w:tc>
          <w:tcPr>
            <w:tcW w:w="1559" w:type="dxa"/>
            <w:vAlign w:val="center"/>
          </w:tcPr>
          <w:p w14:paraId="44D796E8" w14:textId="77777777" w:rsidR="004043D2" w:rsidRPr="00A84EB2" w:rsidRDefault="004043D2" w:rsidP="00F66BDE">
            <w:pPr>
              <w:pStyle w:val="Tablicadanerodek"/>
            </w:pPr>
          </w:p>
        </w:tc>
        <w:tc>
          <w:tcPr>
            <w:tcW w:w="1560" w:type="dxa"/>
            <w:vAlign w:val="center"/>
          </w:tcPr>
          <w:p w14:paraId="1DC51933" w14:textId="77777777" w:rsidR="004043D2" w:rsidRPr="00A84EB2" w:rsidRDefault="004043D2" w:rsidP="00F66BDE">
            <w:pPr>
              <w:pStyle w:val="Tablicadanerodek"/>
            </w:pPr>
          </w:p>
        </w:tc>
      </w:tr>
      <w:tr w:rsidR="004043D2" w14:paraId="0EC2B151" w14:textId="77777777" w:rsidTr="004043D2">
        <w:trPr>
          <w:trHeight w:val="283"/>
        </w:trPr>
        <w:tc>
          <w:tcPr>
            <w:tcW w:w="3119" w:type="dxa"/>
            <w:noWrap/>
          </w:tcPr>
          <w:p w14:paraId="356FED9E" w14:textId="5B2B882B" w:rsidR="004043D2" w:rsidRPr="00A84EB2" w:rsidRDefault="00DD524A" w:rsidP="00DD524A">
            <w:pPr>
              <w:pStyle w:val="Tablicaboczekwcicie1"/>
              <w:ind w:left="255" w:firstLine="0"/>
            </w:pPr>
            <w:r>
              <w:t>w</w:t>
            </w:r>
            <w:r w:rsidR="004043D2" w:rsidRPr="00A84EB2">
              <w:t>odociąg</w:t>
            </w:r>
            <w:r w:rsidR="004043D2" w:rsidRPr="00A84EB2">
              <w:rPr>
                <w:vertAlign w:val="superscript"/>
              </w:rPr>
              <w:t>a</w:t>
            </w:r>
            <w:r w:rsidR="004043D2" w:rsidRPr="00A84EB2">
              <w:t>, ustęp i łazienkę</w:t>
            </w:r>
          </w:p>
        </w:tc>
        <w:tc>
          <w:tcPr>
            <w:tcW w:w="1559" w:type="dxa"/>
            <w:vAlign w:val="center"/>
          </w:tcPr>
          <w:p w14:paraId="21FB905B" w14:textId="7C405FED" w:rsidR="004043D2" w:rsidRPr="00A84EB2" w:rsidRDefault="004043D2" w:rsidP="00F66BDE">
            <w:pPr>
              <w:pStyle w:val="Tablicadanerodek"/>
            </w:pPr>
            <w:r w:rsidRPr="00A84EB2">
              <w:t>349,5</w:t>
            </w:r>
          </w:p>
        </w:tc>
        <w:tc>
          <w:tcPr>
            <w:tcW w:w="1559" w:type="dxa"/>
            <w:vAlign w:val="center"/>
          </w:tcPr>
          <w:p w14:paraId="4ADDB140" w14:textId="2EEBD55C" w:rsidR="004043D2" w:rsidRPr="00A84EB2" w:rsidRDefault="004043D2" w:rsidP="00F66BDE">
            <w:pPr>
              <w:pStyle w:val="Tablicadanerodek"/>
            </w:pPr>
            <w:r w:rsidRPr="00A84EB2">
              <w:t>382,6</w:t>
            </w:r>
          </w:p>
        </w:tc>
        <w:tc>
          <w:tcPr>
            <w:tcW w:w="1560" w:type="dxa"/>
            <w:vAlign w:val="center"/>
          </w:tcPr>
          <w:p w14:paraId="35E5B4F3" w14:textId="61F31397" w:rsidR="004043D2" w:rsidRPr="00A84EB2" w:rsidRDefault="004043D2" w:rsidP="00F66BDE">
            <w:pPr>
              <w:pStyle w:val="Tablicadanerodek"/>
            </w:pPr>
            <w:r w:rsidRPr="00A84EB2">
              <w:t>109,5</w:t>
            </w:r>
          </w:p>
        </w:tc>
      </w:tr>
      <w:tr w:rsidR="004043D2" w14:paraId="21A72CFB" w14:textId="77777777" w:rsidTr="004043D2">
        <w:trPr>
          <w:trHeight w:val="283"/>
        </w:trPr>
        <w:tc>
          <w:tcPr>
            <w:tcW w:w="3119" w:type="dxa"/>
            <w:noWrap/>
          </w:tcPr>
          <w:p w14:paraId="5E191D9B" w14:textId="29E2BB69" w:rsidR="004043D2" w:rsidRPr="00A84EB2" w:rsidRDefault="004043D2" w:rsidP="00B2005B">
            <w:pPr>
              <w:pStyle w:val="Tablicaboczekwcicie1"/>
              <w:ind w:left="352" w:firstLine="0"/>
            </w:pPr>
            <w:r w:rsidRPr="00A84EB2">
              <w:t>z c.o.</w:t>
            </w:r>
            <w:r w:rsidRPr="00A84EB2">
              <w:rPr>
                <w:vertAlign w:val="superscript"/>
              </w:rPr>
              <w:t>b</w:t>
            </w:r>
            <w:r w:rsidRPr="00A84EB2">
              <w:t xml:space="preserve"> i gazem z sieci</w:t>
            </w:r>
          </w:p>
        </w:tc>
        <w:tc>
          <w:tcPr>
            <w:tcW w:w="1559" w:type="dxa"/>
            <w:vAlign w:val="center"/>
          </w:tcPr>
          <w:p w14:paraId="0491B175" w14:textId="2AC2D453" w:rsidR="004043D2" w:rsidRPr="00A84EB2" w:rsidRDefault="004043D2" w:rsidP="00F66BDE">
            <w:pPr>
              <w:pStyle w:val="Tablicadanerodek"/>
            </w:pPr>
            <w:r w:rsidRPr="00A84EB2">
              <w:t>162,6</w:t>
            </w:r>
          </w:p>
        </w:tc>
        <w:tc>
          <w:tcPr>
            <w:tcW w:w="1559" w:type="dxa"/>
            <w:vAlign w:val="center"/>
          </w:tcPr>
          <w:p w14:paraId="6451896D" w14:textId="2864F607" w:rsidR="004043D2" w:rsidRPr="00A84EB2" w:rsidRDefault="004043D2" w:rsidP="00F66BDE">
            <w:pPr>
              <w:pStyle w:val="Tablicadanerodek"/>
            </w:pPr>
            <w:r w:rsidRPr="00A84EB2">
              <w:t>181,6</w:t>
            </w:r>
          </w:p>
        </w:tc>
        <w:tc>
          <w:tcPr>
            <w:tcW w:w="1560" w:type="dxa"/>
            <w:vAlign w:val="center"/>
          </w:tcPr>
          <w:p w14:paraId="27121615" w14:textId="4543654B" w:rsidR="004043D2" w:rsidRPr="00A84EB2" w:rsidRDefault="004043D2" w:rsidP="00F66BDE">
            <w:pPr>
              <w:pStyle w:val="Tablicadanerodek"/>
            </w:pPr>
            <w:r w:rsidRPr="00A84EB2">
              <w:t>111,7</w:t>
            </w:r>
          </w:p>
        </w:tc>
      </w:tr>
      <w:tr w:rsidR="004043D2" w14:paraId="77BB1231" w14:textId="77777777" w:rsidTr="004043D2">
        <w:trPr>
          <w:trHeight w:val="283"/>
        </w:trPr>
        <w:tc>
          <w:tcPr>
            <w:tcW w:w="3119" w:type="dxa"/>
            <w:noWrap/>
          </w:tcPr>
          <w:p w14:paraId="25756A8F" w14:textId="7A3C6A28" w:rsidR="004043D2" w:rsidRPr="00A84EB2" w:rsidRDefault="004043D2" w:rsidP="00B2005B">
            <w:pPr>
              <w:pStyle w:val="Tablicaboczekwcicie2"/>
              <w:ind w:left="255"/>
              <w:rPr>
                <w:rFonts w:eastAsia="Times New Roman" w:cs="Calibri"/>
                <w:lang w:eastAsia="pl-PL"/>
              </w:rPr>
            </w:pPr>
            <w:r w:rsidRPr="00A84EB2">
              <w:rPr>
                <w:rFonts w:eastAsia="Times New Roman" w:cs="Calibri"/>
                <w:lang w:eastAsia="pl-PL"/>
              </w:rPr>
              <w:t>wodociąg</w:t>
            </w:r>
            <w:r w:rsidRPr="00A84EB2">
              <w:rPr>
                <w:rFonts w:eastAsia="Times New Roman" w:cs="Calibri"/>
                <w:vertAlign w:val="superscript"/>
                <w:lang w:eastAsia="pl-PL"/>
              </w:rPr>
              <w:t>a</w:t>
            </w:r>
          </w:p>
        </w:tc>
        <w:tc>
          <w:tcPr>
            <w:tcW w:w="1559" w:type="dxa"/>
            <w:vAlign w:val="center"/>
          </w:tcPr>
          <w:p w14:paraId="2485AD78" w14:textId="1031C1BA" w:rsidR="004043D2" w:rsidRPr="00A84EB2" w:rsidRDefault="004043D2" w:rsidP="00F66BDE">
            <w:pPr>
              <w:pStyle w:val="Tablicadanerodek"/>
            </w:pPr>
            <w:r w:rsidRPr="00A84EB2">
              <w:t>386,9</w:t>
            </w:r>
          </w:p>
        </w:tc>
        <w:tc>
          <w:tcPr>
            <w:tcW w:w="1559" w:type="dxa"/>
            <w:vAlign w:val="center"/>
          </w:tcPr>
          <w:p w14:paraId="375C8CF1" w14:textId="443F2895" w:rsidR="004043D2" w:rsidRPr="00A84EB2" w:rsidRDefault="004043D2" w:rsidP="00F66BDE">
            <w:pPr>
              <w:pStyle w:val="Tablicadanerodek"/>
            </w:pPr>
            <w:r w:rsidRPr="00A84EB2">
              <w:rPr>
                <w:color w:val="000000" w:themeColor="text1"/>
              </w:rPr>
              <w:t>423,8</w:t>
            </w:r>
          </w:p>
        </w:tc>
        <w:tc>
          <w:tcPr>
            <w:tcW w:w="1560" w:type="dxa"/>
            <w:vAlign w:val="center"/>
          </w:tcPr>
          <w:p w14:paraId="7497C3CD" w14:textId="4591B521" w:rsidR="004043D2" w:rsidRPr="00A84EB2" w:rsidRDefault="004043D2" w:rsidP="00F66BDE">
            <w:pPr>
              <w:pStyle w:val="Tablicadanerodek"/>
              <w:rPr>
                <w:color w:val="000000" w:themeColor="text1"/>
              </w:rPr>
            </w:pPr>
            <w:r w:rsidRPr="00A84EB2">
              <w:t>109,5</w:t>
            </w:r>
          </w:p>
        </w:tc>
      </w:tr>
      <w:tr w:rsidR="004043D2" w14:paraId="437394E8" w14:textId="77777777" w:rsidTr="004043D2">
        <w:trPr>
          <w:trHeight w:val="283"/>
        </w:trPr>
        <w:tc>
          <w:tcPr>
            <w:tcW w:w="3119" w:type="dxa"/>
            <w:noWrap/>
          </w:tcPr>
          <w:p w14:paraId="5EB5D63D" w14:textId="77777777" w:rsidR="004043D2" w:rsidRPr="00A84EB2" w:rsidRDefault="004043D2" w:rsidP="00B2005B">
            <w:pPr>
              <w:pStyle w:val="Tablicaboczekwcicie2"/>
              <w:ind w:left="255"/>
            </w:pPr>
            <w:r w:rsidRPr="00A84EB2">
              <w:t>ustęp</w:t>
            </w:r>
          </w:p>
        </w:tc>
        <w:tc>
          <w:tcPr>
            <w:tcW w:w="1559" w:type="dxa"/>
            <w:vAlign w:val="center"/>
          </w:tcPr>
          <w:p w14:paraId="00E8C67E" w14:textId="0E8D4E03" w:rsidR="004043D2" w:rsidRPr="00A84EB2" w:rsidRDefault="004043D2" w:rsidP="00F66BDE">
            <w:pPr>
              <w:pStyle w:val="Tablicadanerodek"/>
            </w:pPr>
            <w:r w:rsidRPr="00A84EB2">
              <w:t>361,1</w:t>
            </w:r>
          </w:p>
        </w:tc>
        <w:tc>
          <w:tcPr>
            <w:tcW w:w="1559" w:type="dxa"/>
            <w:vAlign w:val="center"/>
          </w:tcPr>
          <w:p w14:paraId="7D138B90" w14:textId="4604C541" w:rsidR="004043D2" w:rsidRPr="00A84EB2" w:rsidRDefault="004043D2" w:rsidP="00F66BDE">
            <w:pPr>
              <w:pStyle w:val="Tablicadanerodek"/>
            </w:pPr>
            <w:r w:rsidRPr="00A84EB2">
              <w:t>398,5</w:t>
            </w:r>
          </w:p>
        </w:tc>
        <w:tc>
          <w:tcPr>
            <w:tcW w:w="1560" w:type="dxa"/>
            <w:vAlign w:val="center"/>
          </w:tcPr>
          <w:p w14:paraId="71DE1191" w14:textId="01DE8663" w:rsidR="004043D2" w:rsidRPr="00A84EB2" w:rsidRDefault="004043D2" w:rsidP="00F66BDE">
            <w:pPr>
              <w:pStyle w:val="Tablicadanerodek"/>
            </w:pPr>
            <w:r w:rsidRPr="00A84EB2">
              <w:t>110,4</w:t>
            </w:r>
          </w:p>
        </w:tc>
      </w:tr>
      <w:tr w:rsidR="004043D2" w14:paraId="5C305844" w14:textId="77777777" w:rsidTr="004043D2">
        <w:trPr>
          <w:trHeight w:val="283"/>
        </w:trPr>
        <w:tc>
          <w:tcPr>
            <w:tcW w:w="3119" w:type="dxa"/>
            <w:noWrap/>
          </w:tcPr>
          <w:p w14:paraId="4424530F" w14:textId="77777777" w:rsidR="004043D2" w:rsidRPr="00A84EB2" w:rsidRDefault="004043D2" w:rsidP="00B2005B">
            <w:pPr>
              <w:pStyle w:val="Tablicaboczekwcicie2"/>
              <w:ind w:left="255"/>
            </w:pPr>
            <w:r w:rsidRPr="00A84EB2">
              <w:t>łazienkę</w:t>
            </w:r>
          </w:p>
        </w:tc>
        <w:tc>
          <w:tcPr>
            <w:tcW w:w="1559" w:type="dxa"/>
            <w:vAlign w:val="center"/>
          </w:tcPr>
          <w:p w14:paraId="40934AEE" w14:textId="4CA7B50F" w:rsidR="004043D2" w:rsidRPr="00A84EB2" w:rsidRDefault="004043D2" w:rsidP="00F66BDE">
            <w:pPr>
              <w:pStyle w:val="Tablicadanerodek"/>
            </w:pPr>
            <w:r w:rsidRPr="00A84EB2">
              <w:t>349,7</w:t>
            </w:r>
          </w:p>
        </w:tc>
        <w:tc>
          <w:tcPr>
            <w:tcW w:w="1559" w:type="dxa"/>
            <w:vAlign w:val="center"/>
          </w:tcPr>
          <w:p w14:paraId="6DAE5630" w14:textId="40102262" w:rsidR="004043D2" w:rsidRPr="00A84EB2" w:rsidRDefault="004043D2" w:rsidP="00F66BDE">
            <w:pPr>
              <w:pStyle w:val="Tablicadanerodek"/>
            </w:pPr>
            <w:r w:rsidRPr="00A84EB2">
              <w:t>382,6</w:t>
            </w:r>
          </w:p>
        </w:tc>
        <w:tc>
          <w:tcPr>
            <w:tcW w:w="1560" w:type="dxa"/>
            <w:vAlign w:val="center"/>
          </w:tcPr>
          <w:p w14:paraId="542D6573" w14:textId="50D63DCF" w:rsidR="004043D2" w:rsidRPr="00A84EB2" w:rsidRDefault="004043D2" w:rsidP="00F66BDE">
            <w:pPr>
              <w:pStyle w:val="Tablicadanerodek"/>
            </w:pPr>
            <w:r w:rsidRPr="00A84EB2">
              <w:t>109,4</w:t>
            </w:r>
          </w:p>
        </w:tc>
      </w:tr>
      <w:tr w:rsidR="004043D2" w14:paraId="5E99087A" w14:textId="77777777" w:rsidTr="004043D2">
        <w:trPr>
          <w:trHeight w:val="283"/>
        </w:trPr>
        <w:tc>
          <w:tcPr>
            <w:tcW w:w="3119" w:type="dxa"/>
            <w:noWrap/>
          </w:tcPr>
          <w:p w14:paraId="45B71559" w14:textId="77B196A2" w:rsidR="004043D2" w:rsidRPr="00A84EB2" w:rsidRDefault="004043D2" w:rsidP="00B2005B">
            <w:pPr>
              <w:pStyle w:val="Tablicaboczekwcicie2"/>
              <w:ind w:left="255"/>
            </w:pPr>
            <w:r w:rsidRPr="00A84EB2">
              <w:t>c.o.</w:t>
            </w:r>
            <w:r w:rsidRPr="00A84EB2">
              <w:rPr>
                <w:vertAlign w:val="superscript"/>
              </w:rPr>
              <w:t>b</w:t>
            </w:r>
          </w:p>
        </w:tc>
        <w:tc>
          <w:tcPr>
            <w:tcW w:w="1559" w:type="dxa"/>
            <w:vAlign w:val="center"/>
          </w:tcPr>
          <w:p w14:paraId="1BBADFB6" w14:textId="62AACD7A" w:rsidR="004043D2" w:rsidRPr="00A84EB2" w:rsidRDefault="004043D2" w:rsidP="00F66BDE">
            <w:pPr>
              <w:pStyle w:val="Tablicadanerodek"/>
            </w:pPr>
            <w:r w:rsidRPr="00A84EB2">
              <w:t>327,8</w:t>
            </w:r>
          </w:p>
        </w:tc>
        <w:tc>
          <w:tcPr>
            <w:tcW w:w="1559" w:type="dxa"/>
            <w:vAlign w:val="center"/>
          </w:tcPr>
          <w:p w14:paraId="6B24FD91" w14:textId="4603E64A" w:rsidR="004043D2" w:rsidRPr="00A84EB2" w:rsidRDefault="004043D2" w:rsidP="00F66BDE">
            <w:pPr>
              <w:pStyle w:val="Tablicadanerodek"/>
            </w:pPr>
            <w:r w:rsidRPr="00A84EB2">
              <w:t>363,0</w:t>
            </w:r>
          </w:p>
        </w:tc>
        <w:tc>
          <w:tcPr>
            <w:tcW w:w="1560" w:type="dxa"/>
            <w:vAlign w:val="center"/>
          </w:tcPr>
          <w:p w14:paraId="05208337" w14:textId="460E10BB" w:rsidR="004043D2" w:rsidRPr="00A84EB2" w:rsidRDefault="004043D2" w:rsidP="00F66BDE">
            <w:pPr>
              <w:pStyle w:val="Tablicadanerodek"/>
            </w:pPr>
            <w:r w:rsidRPr="00A84EB2">
              <w:t>110,7</w:t>
            </w:r>
          </w:p>
        </w:tc>
      </w:tr>
      <w:tr w:rsidR="004043D2" w14:paraId="77954AEB" w14:textId="77777777" w:rsidTr="004043D2">
        <w:trPr>
          <w:trHeight w:val="283"/>
        </w:trPr>
        <w:tc>
          <w:tcPr>
            <w:tcW w:w="3119" w:type="dxa"/>
            <w:noWrap/>
          </w:tcPr>
          <w:p w14:paraId="2FE723B6" w14:textId="77777777" w:rsidR="004043D2" w:rsidRPr="00A84EB2" w:rsidRDefault="004043D2" w:rsidP="00B2005B">
            <w:pPr>
              <w:pStyle w:val="Tablicaboczekwcicie2"/>
              <w:ind w:left="255"/>
            </w:pPr>
            <w:r w:rsidRPr="00A84EB2">
              <w:t>gaz z sieci</w:t>
            </w:r>
          </w:p>
        </w:tc>
        <w:tc>
          <w:tcPr>
            <w:tcW w:w="1559" w:type="dxa"/>
            <w:vAlign w:val="center"/>
          </w:tcPr>
          <w:p w14:paraId="5151CC77" w14:textId="64C2BF37" w:rsidR="004043D2" w:rsidRPr="00A84EB2" w:rsidRDefault="004043D2" w:rsidP="00F66BDE">
            <w:pPr>
              <w:pStyle w:val="Tablicadanerodek"/>
            </w:pPr>
            <w:r w:rsidRPr="00A84EB2">
              <w:t>170,3</w:t>
            </w:r>
          </w:p>
        </w:tc>
        <w:tc>
          <w:tcPr>
            <w:tcW w:w="1559" w:type="dxa"/>
            <w:vAlign w:val="center"/>
          </w:tcPr>
          <w:p w14:paraId="4A1DD8C8" w14:textId="1EA672D0" w:rsidR="004043D2" w:rsidRPr="00A84EB2" w:rsidRDefault="004043D2" w:rsidP="00F66BDE">
            <w:pPr>
              <w:pStyle w:val="Tablicadanerodek"/>
            </w:pPr>
            <w:r w:rsidRPr="00A84EB2">
              <w:t>203,5</w:t>
            </w:r>
          </w:p>
        </w:tc>
        <w:tc>
          <w:tcPr>
            <w:tcW w:w="1560" w:type="dxa"/>
            <w:vAlign w:val="center"/>
          </w:tcPr>
          <w:p w14:paraId="76124B8B" w14:textId="24A4C14F" w:rsidR="004043D2" w:rsidRPr="00A84EB2" w:rsidRDefault="004043D2" w:rsidP="00F66BDE">
            <w:pPr>
              <w:pStyle w:val="Tablicadanerodek"/>
            </w:pPr>
            <w:r w:rsidRPr="00A84EB2">
              <w:t>119,4</w:t>
            </w:r>
          </w:p>
        </w:tc>
      </w:tr>
    </w:tbl>
    <w:p w14:paraId="291E1F17" w14:textId="62CAD6C0" w:rsidR="009E2F92" w:rsidRDefault="009E2F92" w:rsidP="00B2005B">
      <w:pPr>
        <w:pStyle w:val="Przypis"/>
        <w:spacing w:line="240" w:lineRule="exact"/>
        <w:rPr>
          <w:rStyle w:val="PrzypisZnak"/>
          <w:sz w:val="16"/>
          <w:szCs w:val="16"/>
          <w:lang w:val="pl-PL"/>
        </w:rPr>
      </w:pPr>
      <w:r>
        <w:rPr>
          <w:rStyle w:val="PrzypisZnak"/>
          <w:sz w:val="16"/>
          <w:szCs w:val="16"/>
          <w:lang w:val="pl-PL"/>
        </w:rPr>
        <w:t>a Dotyczy mieszkań, w obrębie których znajduje się kran z wodą bieżącą.</w:t>
      </w:r>
    </w:p>
    <w:p w14:paraId="626E873A" w14:textId="37D5FD3D" w:rsidR="0007467C" w:rsidRDefault="009E2F92" w:rsidP="00B2005B">
      <w:pPr>
        <w:pStyle w:val="Przypis"/>
        <w:spacing w:before="0" w:after="120" w:line="240" w:lineRule="exact"/>
        <w:rPr>
          <w:rStyle w:val="PrzypisZnak"/>
          <w:sz w:val="16"/>
          <w:szCs w:val="16"/>
          <w:lang w:val="pl-PL"/>
        </w:rPr>
      </w:pPr>
      <w:r>
        <w:rPr>
          <w:rStyle w:val="PrzypisZnak"/>
          <w:sz w:val="16"/>
          <w:szCs w:val="16"/>
          <w:lang w:val="pl-PL"/>
        </w:rPr>
        <w:t>b</w:t>
      </w:r>
      <w:r w:rsidR="0038631B" w:rsidRPr="00C71899">
        <w:rPr>
          <w:rStyle w:val="PrzypisZnak"/>
          <w:sz w:val="16"/>
          <w:szCs w:val="16"/>
          <w:lang w:val="pl-PL"/>
        </w:rPr>
        <w:t xml:space="preserve"> </w:t>
      </w:r>
      <w:r w:rsidR="0038631B" w:rsidRPr="00A441DD">
        <w:rPr>
          <w:rStyle w:val="PrzypisZnak"/>
          <w:sz w:val="16"/>
          <w:szCs w:val="16"/>
          <w:lang w:val="pl-PL"/>
        </w:rPr>
        <w:t xml:space="preserve">Dotyczy mieszkań wyposażonych w centralne ogrzewanie z sieci, </w:t>
      </w:r>
      <w:r w:rsidR="0038631B">
        <w:rPr>
          <w:rStyle w:val="PrzypisZnak"/>
          <w:sz w:val="16"/>
          <w:szCs w:val="16"/>
          <w:lang w:val="pl-PL"/>
        </w:rPr>
        <w:t xml:space="preserve">ogrzewanie </w:t>
      </w:r>
      <w:r w:rsidR="0038631B" w:rsidRPr="00A441DD">
        <w:rPr>
          <w:rStyle w:val="PrzypisZnak"/>
          <w:sz w:val="16"/>
          <w:szCs w:val="16"/>
          <w:lang w:val="pl-PL"/>
        </w:rPr>
        <w:t>zbiorowe ze źródła ciepła zasilającego jeden budynek wielomieszkaniowy, centralne ogrzewanie indywidualne i ogrzewanie nieokreślonego typu</w:t>
      </w:r>
      <w:r w:rsidR="0038631B">
        <w:rPr>
          <w:rStyle w:val="PrzypisZnak"/>
          <w:sz w:val="16"/>
          <w:szCs w:val="16"/>
          <w:lang w:val="pl-PL"/>
        </w:rPr>
        <w:t>.</w:t>
      </w:r>
    </w:p>
    <w:p w14:paraId="52BE5FFF" w14:textId="28A09C88" w:rsidR="00C5665B" w:rsidRPr="001A43D9" w:rsidRDefault="00C5665B" w:rsidP="003E1A1F">
      <w:pPr>
        <w:pStyle w:val="Tytutablicy"/>
        <w:spacing w:before="240" w:line="288" w:lineRule="auto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>Wśród mieszkań niepodłączonych do centralnego ogrzewania z sieci lub zbiorowego ogrzewania ze źródeł ciepła zasilającego jeden budynek wielomieszkaniowy, najczęściej wykorzystywanym paliwem/</w:t>
      </w:r>
      <w:r w:rsidR="00B2005B">
        <w:rPr>
          <w:b w:val="0"/>
          <w:shd w:val="clear" w:color="auto" w:fill="FFFFFF"/>
        </w:rPr>
        <w:t xml:space="preserve"> </w:t>
      </w:r>
      <w:r>
        <w:rPr>
          <w:b w:val="0"/>
          <w:shd w:val="clear" w:color="auto" w:fill="FFFFFF"/>
        </w:rPr>
        <w:t>źródłem energii do ogrzewania mieszkania był: węgie</w:t>
      </w:r>
      <w:r w:rsidR="004323F4">
        <w:rPr>
          <w:b w:val="0"/>
          <w:shd w:val="clear" w:color="auto" w:fill="FFFFFF"/>
        </w:rPr>
        <w:t>l</w:t>
      </w:r>
      <w:bookmarkStart w:id="0" w:name="_GoBack"/>
      <w:bookmarkEnd w:id="0"/>
      <w:r>
        <w:rPr>
          <w:b w:val="0"/>
          <w:shd w:val="clear" w:color="auto" w:fill="FFFFFF"/>
        </w:rPr>
        <w:t xml:space="preserve"> kamienny (34,3% ogólnej liczby </w:t>
      </w:r>
      <w:r w:rsidR="00E9440E">
        <w:rPr>
          <w:b w:val="0"/>
          <w:shd w:val="clear" w:color="auto" w:fill="FFFFFF"/>
        </w:rPr>
        <w:t xml:space="preserve">analizowanych </w:t>
      </w:r>
      <w:r>
        <w:rPr>
          <w:b w:val="0"/>
          <w:shd w:val="clear" w:color="auto" w:fill="FFFFFF"/>
        </w:rPr>
        <w:t xml:space="preserve">mieszkań), drewno (27,3%) oraz gaz ziemny (11,1%). Odnawialne źródła energii takie jak: energia pozyskiwana z otoczenia, energia słoneczna, biomasa, biogaz były wykorzystywane do ogrzewania zaledwie </w:t>
      </w:r>
      <w:r w:rsidR="00F47D88">
        <w:rPr>
          <w:b w:val="0"/>
          <w:shd w:val="clear" w:color="auto" w:fill="FFFFFF"/>
        </w:rPr>
        <w:t>0,8% ogólnej liczby analizowanych</w:t>
      </w:r>
      <w:r>
        <w:rPr>
          <w:b w:val="0"/>
          <w:shd w:val="clear" w:color="auto" w:fill="FFFFFF"/>
        </w:rPr>
        <w:t xml:space="preserve"> mieszkań.</w:t>
      </w:r>
    </w:p>
    <w:p w14:paraId="71E9D957" w14:textId="0B9F540A" w:rsidR="0038631B" w:rsidRPr="00BF4E1F" w:rsidRDefault="0038631B" w:rsidP="003E1A1F">
      <w:pPr>
        <w:pStyle w:val="Tytutablicy"/>
        <w:pageBreakBefore/>
      </w:pPr>
      <w:r w:rsidRPr="00BF4E1F">
        <w:lastRenderedPageBreak/>
        <w:t>Tablica 2</w:t>
      </w:r>
      <w:r w:rsidR="00EF31F0">
        <w:t>.</w:t>
      </w:r>
      <w:r w:rsidRPr="00BF4E1F">
        <w:t xml:space="preserve"> Mieszkania </w:t>
      </w:r>
      <w:r w:rsidR="005C6C8B">
        <w:t>według rodzaju paliw i źródeł energii stosowanych do ogrzewania w 2021 r.</w:t>
      </w:r>
      <w:r>
        <w:t xml:space="preserve"> (stan w dniu 31 marca)</w:t>
      </w:r>
    </w:p>
    <w:tbl>
      <w:tblPr>
        <w:tblW w:w="7797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 Mieszkania ogrzewane indywidualnie oraz rodzaje paliw i źródeł energii stosowane do ogrzewania mieszkań"/>
        <w:tblDescription w:val="Mieszkania niepodłączone do centralnego ogrzewania z sieci lub zbiorowego ogrzewania ze źródeł ciepła zasilającego jeden budynek wielomieszkaniowy według rodzaju paliw i zródeł energii stosowanych do ogrzewania w 2021 roku.  Prezentwane w podziale: Ogółem, z c.o. ogrzewane indywidualnie oraz z brakiem c.o. ogrzewane w inny sposób. Dane w wartościach bezwzględnych."/>
      </w:tblPr>
      <w:tblGrid>
        <w:gridCol w:w="3687"/>
        <w:gridCol w:w="1195"/>
        <w:gridCol w:w="1355"/>
        <w:gridCol w:w="1560"/>
      </w:tblGrid>
      <w:tr w:rsidR="0038631B" w14:paraId="3DEEA7AB" w14:textId="77777777" w:rsidTr="0038631B">
        <w:trPr>
          <w:trHeight w:val="170"/>
        </w:trPr>
        <w:tc>
          <w:tcPr>
            <w:tcW w:w="3687" w:type="dxa"/>
            <w:vMerge w:val="restart"/>
            <w:noWrap/>
            <w:vAlign w:val="center"/>
            <w:hideMark/>
          </w:tcPr>
          <w:p w14:paraId="3343E0AF" w14:textId="77777777" w:rsidR="0038631B" w:rsidRPr="00F049AB" w:rsidRDefault="0038631B" w:rsidP="00D73869">
            <w:pPr>
              <w:pStyle w:val="Tablicagwka"/>
              <w:ind w:left="0"/>
              <w:contextualSpacing w:val="0"/>
              <w:jc w:val="center"/>
            </w:pPr>
            <w:r w:rsidRPr="00F049AB">
              <w:t>Wyszczególnienie</w:t>
            </w:r>
          </w:p>
        </w:tc>
        <w:tc>
          <w:tcPr>
            <w:tcW w:w="4110" w:type="dxa"/>
            <w:gridSpan w:val="3"/>
            <w:vAlign w:val="center"/>
            <w:hideMark/>
          </w:tcPr>
          <w:p w14:paraId="4E0F59A3" w14:textId="5230846B" w:rsidR="0038631B" w:rsidRDefault="0038631B" w:rsidP="00D73869">
            <w:pPr>
              <w:pStyle w:val="Tablicagwkarodek"/>
              <w:rPr>
                <w:rFonts w:eastAsia="Fira Sans Light" w:cs="Times New Roman"/>
              </w:rPr>
            </w:pPr>
            <w:r>
              <w:t xml:space="preserve">Mieszkania </w:t>
            </w:r>
            <w:r w:rsidR="005C6C8B">
              <w:t>w</w:t>
            </w:r>
            <w:r w:rsidR="00B730E8">
              <w:t>edług</w:t>
            </w:r>
            <w:r w:rsidR="005C6C8B">
              <w:t xml:space="preserve"> wykorzystywanego paliwa/ źródeł energii:</w:t>
            </w:r>
          </w:p>
        </w:tc>
      </w:tr>
      <w:tr w:rsidR="0038631B" w14:paraId="634B3876" w14:textId="77777777" w:rsidTr="00980C2F">
        <w:trPr>
          <w:trHeight w:val="283"/>
        </w:trPr>
        <w:tc>
          <w:tcPr>
            <w:tcW w:w="3687" w:type="dxa"/>
            <w:vMerge/>
            <w:vAlign w:val="center"/>
            <w:hideMark/>
          </w:tcPr>
          <w:p w14:paraId="07A322B7" w14:textId="77777777" w:rsidR="0038631B" w:rsidRDefault="0038631B" w:rsidP="00D73869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195" w:type="dxa"/>
            <w:vAlign w:val="center"/>
            <w:hideMark/>
          </w:tcPr>
          <w:p w14:paraId="187786EC" w14:textId="77777777" w:rsidR="0038631B" w:rsidRDefault="0038631B" w:rsidP="00D73869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Ogółem</w:t>
            </w:r>
          </w:p>
        </w:tc>
        <w:tc>
          <w:tcPr>
            <w:tcW w:w="1354" w:type="dxa"/>
            <w:vAlign w:val="center"/>
          </w:tcPr>
          <w:p w14:paraId="3C7FC74E" w14:textId="162EE006" w:rsidR="0038631B" w:rsidRDefault="005C6C8B" w:rsidP="00D73869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z </w:t>
            </w:r>
            <w:r w:rsidR="0038631B">
              <w:rPr>
                <w:rFonts w:eastAsia="Fira Sans Light" w:cs="Times New Roman"/>
              </w:rPr>
              <w:t xml:space="preserve">c.o. </w:t>
            </w:r>
            <w:r>
              <w:rPr>
                <w:rFonts w:eastAsia="Fira Sans Light" w:cs="Times New Roman"/>
              </w:rPr>
              <w:t xml:space="preserve">ogrzewane </w:t>
            </w:r>
            <w:r w:rsidR="0038631B">
              <w:rPr>
                <w:rFonts w:eastAsia="Fira Sans Light" w:cs="Times New Roman"/>
              </w:rPr>
              <w:t>indywidualn</w:t>
            </w:r>
            <w:r>
              <w:rPr>
                <w:rFonts w:eastAsia="Fira Sans Light" w:cs="Times New Roman"/>
              </w:rPr>
              <w:t>i</w:t>
            </w:r>
            <w:r w:rsidR="0038631B">
              <w:rPr>
                <w:rFonts w:eastAsia="Fira Sans Light" w:cs="Times New Roman"/>
              </w:rPr>
              <w:t>e</w:t>
            </w:r>
          </w:p>
        </w:tc>
        <w:tc>
          <w:tcPr>
            <w:tcW w:w="1561" w:type="dxa"/>
            <w:vAlign w:val="center"/>
          </w:tcPr>
          <w:p w14:paraId="0D0DBE53" w14:textId="3E9709BE" w:rsidR="0038631B" w:rsidRDefault="00B2005B" w:rsidP="00D73869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z</w:t>
            </w:r>
            <w:r w:rsidR="005C6C8B">
              <w:rPr>
                <w:rFonts w:eastAsia="Fira Sans Light" w:cs="Times New Roman"/>
              </w:rPr>
              <w:t xml:space="preserve"> brakiem c.o. ogrzewane w inny sposób</w:t>
            </w:r>
            <w:r w:rsidR="005C6C8B" w:rsidRPr="005C6C8B">
              <w:rPr>
                <w:rFonts w:eastAsia="Fira Sans Light" w:cs="Times New Roman"/>
                <w:vertAlign w:val="superscript"/>
              </w:rPr>
              <w:t>a</w:t>
            </w:r>
          </w:p>
        </w:tc>
      </w:tr>
      <w:tr w:rsidR="0038631B" w14:paraId="67E3DBE4" w14:textId="77777777" w:rsidTr="0038631B">
        <w:trPr>
          <w:trHeight w:val="227"/>
        </w:trPr>
        <w:tc>
          <w:tcPr>
            <w:tcW w:w="3687" w:type="dxa"/>
            <w:vMerge/>
            <w:vAlign w:val="center"/>
          </w:tcPr>
          <w:p w14:paraId="57C1FD8D" w14:textId="77777777" w:rsidR="0038631B" w:rsidRDefault="0038631B" w:rsidP="00D73869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4110" w:type="dxa"/>
            <w:gridSpan w:val="3"/>
            <w:vAlign w:val="center"/>
          </w:tcPr>
          <w:p w14:paraId="4828FFA3" w14:textId="77777777" w:rsidR="0038631B" w:rsidRDefault="0038631B" w:rsidP="00D73869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tysiącach</w:t>
            </w:r>
          </w:p>
        </w:tc>
      </w:tr>
      <w:tr w:rsidR="0038631B" w:rsidRPr="00C91C89" w14:paraId="1B4286A7" w14:textId="77777777" w:rsidTr="00980C2F">
        <w:trPr>
          <w:trHeight w:val="300"/>
        </w:trPr>
        <w:tc>
          <w:tcPr>
            <w:tcW w:w="3687" w:type="dxa"/>
            <w:noWrap/>
          </w:tcPr>
          <w:p w14:paraId="2B77A534" w14:textId="77777777" w:rsidR="0038631B" w:rsidRPr="00C91C89" w:rsidRDefault="0038631B" w:rsidP="00D73869">
            <w:pPr>
              <w:pStyle w:val="Tablicaboczekwcicie1"/>
              <w:ind w:firstLine="0"/>
              <w:rPr>
                <w:rFonts w:eastAsia="Times New Roman" w:cs="Calibri"/>
                <w:b/>
                <w:lang w:eastAsia="pl-PL"/>
              </w:rPr>
            </w:pPr>
            <w:r>
              <w:rPr>
                <w:rFonts w:eastAsia="Times New Roman" w:cs="Calibri"/>
                <w:b/>
                <w:lang w:eastAsia="pl-PL"/>
              </w:rPr>
              <w:t>Razem</w:t>
            </w:r>
          </w:p>
        </w:tc>
        <w:tc>
          <w:tcPr>
            <w:tcW w:w="1195" w:type="dxa"/>
          </w:tcPr>
          <w:p w14:paraId="28097A88" w14:textId="492D266C" w:rsidR="0038631B" w:rsidRPr="00C91C89" w:rsidRDefault="002634A0" w:rsidP="00D73869">
            <w:pPr>
              <w:pStyle w:val="Tablicadanerodek"/>
              <w:rPr>
                <w:b/>
              </w:rPr>
            </w:pPr>
            <w:r>
              <w:rPr>
                <w:b/>
              </w:rPr>
              <w:t>279,0</w:t>
            </w:r>
          </w:p>
        </w:tc>
        <w:tc>
          <w:tcPr>
            <w:tcW w:w="1354" w:type="dxa"/>
          </w:tcPr>
          <w:p w14:paraId="0EAE878E" w14:textId="71F41C8D" w:rsidR="0038631B" w:rsidRPr="00C91C89" w:rsidRDefault="002634A0" w:rsidP="00D73869">
            <w:pPr>
              <w:pStyle w:val="Tablicadanerodek"/>
              <w:rPr>
                <w:b/>
              </w:rPr>
            </w:pPr>
            <w:r>
              <w:rPr>
                <w:b/>
              </w:rPr>
              <w:t>192,7</w:t>
            </w:r>
          </w:p>
        </w:tc>
        <w:tc>
          <w:tcPr>
            <w:tcW w:w="1561" w:type="dxa"/>
          </w:tcPr>
          <w:p w14:paraId="58930563" w14:textId="49BB28E3" w:rsidR="0038631B" w:rsidRPr="00C91C89" w:rsidRDefault="002634A0" w:rsidP="00D73869">
            <w:pPr>
              <w:pStyle w:val="Tablicadanerodek"/>
              <w:rPr>
                <w:b/>
              </w:rPr>
            </w:pPr>
            <w:r>
              <w:rPr>
                <w:b/>
              </w:rPr>
              <w:t>86,3</w:t>
            </w:r>
          </w:p>
        </w:tc>
      </w:tr>
      <w:tr w:rsidR="0038631B" w14:paraId="59B0DE6B" w14:textId="77777777" w:rsidTr="00980C2F">
        <w:trPr>
          <w:trHeight w:val="300"/>
        </w:trPr>
        <w:tc>
          <w:tcPr>
            <w:tcW w:w="3687" w:type="dxa"/>
            <w:noWrap/>
          </w:tcPr>
          <w:p w14:paraId="6234666B" w14:textId="77777777" w:rsidR="0038631B" w:rsidRDefault="0038631B" w:rsidP="00D73869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Węgiel kamienny</w:t>
            </w:r>
          </w:p>
        </w:tc>
        <w:tc>
          <w:tcPr>
            <w:tcW w:w="1195" w:type="dxa"/>
          </w:tcPr>
          <w:p w14:paraId="0F4A0817" w14:textId="60EB241D" w:rsidR="0038631B" w:rsidRPr="00C35A34" w:rsidRDefault="002634A0" w:rsidP="00D73869">
            <w:pPr>
              <w:pStyle w:val="Tablicadanerodek"/>
            </w:pPr>
            <w:r>
              <w:t>95,7</w:t>
            </w:r>
          </w:p>
        </w:tc>
        <w:tc>
          <w:tcPr>
            <w:tcW w:w="1354" w:type="dxa"/>
          </w:tcPr>
          <w:p w14:paraId="26251F71" w14:textId="1AD83448" w:rsidR="0038631B" w:rsidRPr="00C35A34" w:rsidRDefault="00D73869" w:rsidP="00D73869">
            <w:pPr>
              <w:pStyle w:val="Tablicadanerodek"/>
            </w:pPr>
            <w:r>
              <w:t>74,1</w:t>
            </w:r>
          </w:p>
        </w:tc>
        <w:tc>
          <w:tcPr>
            <w:tcW w:w="1561" w:type="dxa"/>
          </w:tcPr>
          <w:p w14:paraId="7933F7A8" w14:textId="07FB9795" w:rsidR="0038631B" w:rsidRPr="00C35A34" w:rsidRDefault="002634A0" w:rsidP="00D73869">
            <w:pPr>
              <w:pStyle w:val="Tablicadanerodek"/>
            </w:pPr>
            <w:r>
              <w:t>21,6</w:t>
            </w:r>
          </w:p>
        </w:tc>
      </w:tr>
      <w:tr w:rsidR="0038631B" w14:paraId="35AF9B97" w14:textId="77777777" w:rsidTr="00980C2F">
        <w:trPr>
          <w:trHeight w:val="300"/>
        </w:trPr>
        <w:tc>
          <w:tcPr>
            <w:tcW w:w="3687" w:type="dxa"/>
            <w:noWrap/>
          </w:tcPr>
          <w:p w14:paraId="71518868" w14:textId="77777777" w:rsidR="0038631B" w:rsidRDefault="0038631B" w:rsidP="00D73869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Węgiel brunatny</w:t>
            </w:r>
          </w:p>
        </w:tc>
        <w:tc>
          <w:tcPr>
            <w:tcW w:w="1195" w:type="dxa"/>
          </w:tcPr>
          <w:p w14:paraId="5FEB004E" w14:textId="7D80389B" w:rsidR="0038631B" w:rsidRPr="00C35A34" w:rsidRDefault="002634A0" w:rsidP="00D73869">
            <w:pPr>
              <w:pStyle w:val="Tablicadanerodek"/>
            </w:pPr>
            <w:r>
              <w:t>10,4</w:t>
            </w:r>
          </w:p>
        </w:tc>
        <w:tc>
          <w:tcPr>
            <w:tcW w:w="1354" w:type="dxa"/>
          </w:tcPr>
          <w:p w14:paraId="55779A5C" w14:textId="1F163B45" w:rsidR="0038631B" w:rsidRPr="00C35A34" w:rsidRDefault="00D73869" w:rsidP="00D73869">
            <w:pPr>
              <w:pStyle w:val="Tablicadanerodek"/>
            </w:pPr>
            <w:r>
              <w:t>7,0</w:t>
            </w:r>
          </w:p>
        </w:tc>
        <w:tc>
          <w:tcPr>
            <w:tcW w:w="1561" w:type="dxa"/>
          </w:tcPr>
          <w:p w14:paraId="68699615" w14:textId="6141AE87" w:rsidR="0038631B" w:rsidRPr="00C35A34" w:rsidRDefault="002634A0" w:rsidP="00D73869">
            <w:pPr>
              <w:pStyle w:val="Tablicadanerodek"/>
            </w:pPr>
            <w:r>
              <w:t>3,4</w:t>
            </w:r>
          </w:p>
        </w:tc>
      </w:tr>
      <w:tr w:rsidR="0038631B" w14:paraId="611C4D7C" w14:textId="77777777" w:rsidTr="00980C2F">
        <w:trPr>
          <w:trHeight w:val="300"/>
        </w:trPr>
        <w:tc>
          <w:tcPr>
            <w:tcW w:w="3687" w:type="dxa"/>
            <w:noWrap/>
          </w:tcPr>
          <w:p w14:paraId="2CF0C247" w14:textId="77777777" w:rsidR="0038631B" w:rsidRDefault="0038631B" w:rsidP="00D73869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Gaz ziemny</w:t>
            </w:r>
          </w:p>
        </w:tc>
        <w:tc>
          <w:tcPr>
            <w:tcW w:w="1195" w:type="dxa"/>
          </w:tcPr>
          <w:p w14:paraId="2B59F024" w14:textId="2789DBB6" w:rsidR="0038631B" w:rsidRPr="00C35A34" w:rsidRDefault="002634A0" w:rsidP="00D73869">
            <w:pPr>
              <w:pStyle w:val="Tablicadanerodek"/>
            </w:pPr>
            <w:r>
              <w:t>30,9</w:t>
            </w:r>
          </w:p>
        </w:tc>
        <w:tc>
          <w:tcPr>
            <w:tcW w:w="1354" w:type="dxa"/>
          </w:tcPr>
          <w:p w14:paraId="345E6075" w14:textId="4BB0E73A" w:rsidR="0038631B" w:rsidRPr="00C35A34" w:rsidRDefault="002634A0" w:rsidP="00D73869">
            <w:pPr>
              <w:pStyle w:val="Tablicadanerodek"/>
            </w:pPr>
            <w:r>
              <w:t>23,3</w:t>
            </w:r>
          </w:p>
        </w:tc>
        <w:tc>
          <w:tcPr>
            <w:tcW w:w="1561" w:type="dxa"/>
          </w:tcPr>
          <w:p w14:paraId="23A73801" w14:textId="7253F80C" w:rsidR="0038631B" w:rsidRPr="00C35A34" w:rsidRDefault="002634A0" w:rsidP="00D73869">
            <w:pPr>
              <w:pStyle w:val="Tablicadanerodek"/>
            </w:pPr>
            <w:r>
              <w:t>7,5</w:t>
            </w:r>
          </w:p>
        </w:tc>
      </w:tr>
      <w:tr w:rsidR="0038631B" w14:paraId="4B986D86" w14:textId="77777777" w:rsidTr="00980C2F">
        <w:trPr>
          <w:trHeight w:val="300"/>
        </w:trPr>
        <w:tc>
          <w:tcPr>
            <w:tcW w:w="3687" w:type="dxa"/>
            <w:noWrap/>
          </w:tcPr>
          <w:p w14:paraId="15D5870F" w14:textId="77777777" w:rsidR="0038631B" w:rsidRDefault="0038631B" w:rsidP="00D73869">
            <w:pPr>
              <w:pStyle w:val="Tablicaboczekwcicie2"/>
              <w:ind w:left="0"/>
            </w:pPr>
            <w:r>
              <w:t>Gaz ciekły</w:t>
            </w:r>
          </w:p>
        </w:tc>
        <w:tc>
          <w:tcPr>
            <w:tcW w:w="1195" w:type="dxa"/>
          </w:tcPr>
          <w:p w14:paraId="3BAB0B56" w14:textId="009DA3AA" w:rsidR="0038631B" w:rsidRPr="00C35A34" w:rsidRDefault="002634A0" w:rsidP="00D73869">
            <w:pPr>
              <w:pStyle w:val="Tablicadanerodek"/>
            </w:pPr>
            <w:r>
              <w:t>1,7</w:t>
            </w:r>
          </w:p>
        </w:tc>
        <w:tc>
          <w:tcPr>
            <w:tcW w:w="1354" w:type="dxa"/>
          </w:tcPr>
          <w:p w14:paraId="2BDEC79F" w14:textId="599182E1" w:rsidR="0038631B" w:rsidRPr="00C35A34" w:rsidRDefault="002634A0" w:rsidP="00D73869">
            <w:pPr>
              <w:pStyle w:val="Tablicadanerodek"/>
            </w:pPr>
            <w:r>
              <w:t>1,1</w:t>
            </w:r>
          </w:p>
        </w:tc>
        <w:tc>
          <w:tcPr>
            <w:tcW w:w="1561" w:type="dxa"/>
          </w:tcPr>
          <w:p w14:paraId="1C9CEF63" w14:textId="188D793B" w:rsidR="0038631B" w:rsidRPr="00C35A34" w:rsidRDefault="002634A0" w:rsidP="00D73869">
            <w:pPr>
              <w:pStyle w:val="Tablicadanerodek"/>
            </w:pPr>
            <w:r>
              <w:t>0,7</w:t>
            </w:r>
          </w:p>
        </w:tc>
      </w:tr>
      <w:tr w:rsidR="0038631B" w14:paraId="3E2E1C49" w14:textId="77777777" w:rsidTr="00980C2F">
        <w:trPr>
          <w:trHeight w:val="300"/>
        </w:trPr>
        <w:tc>
          <w:tcPr>
            <w:tcW w:w="3687" w:type="dxa"/>
            <w:noWrap/>
          </w:tcPr>
          <w:p w14:paraId="31AE8F3D" w14:textId="77777777" w:rsidR="0038631B" w:rsidRDefault="0038631B" w:rsidP="00D73869">
            <w:pPr>
              <w:pStyle w:val="Tablicaboczekwcicie2"/>
              <w:ind w:left="0"/>
            </w:pPr>
            <w:r>
              <w:t>Biogaz</w:t>
            </w:r>
          </w:p>
        </w:tc>
        <w:tc>
          <w:tcPr>
            <w:tcW w:w="1195" w:type="dxa"/>
          </w:tcPr>
          <w:p w14:paraId="10B9DDAC" w14:textId="4D5C7F06" w:rsidR="0038631B" w:rsidRPr="00C35A34" w:rsidRDefault="002634A0" w:rsidP="00D73869">
            <w:pPr>
              <w:pStyle w:val="Tablicadanerodek"/>
            </w:pPr>
            <w:r>
              <w:t>0,0</w:t>
            </w:r>
          </w:p>
        </w:tc>
        <w:tc>
          <w:tcPr>
            <w:tcW w:w="1354" w:type="dxa"/>
          </w:tcPr>
          <w:p w14:paraId="4579C00A" w14:textId="40975C5B" w:rsidR="0038631B" w:rsidRPr="00C35A34" w:rsidRDefault="002634A0" w:rsidP="00D73869">
            <w:pPr>
              <w:pStyle w:val="Tablicadanerodek"/>
            </w:pPr>
            <w:r>
              <w:t>0,0</w:t>
            </w:r>
          </w:p>
        </w:tc>
        <w:tc>
          <w:tcPr>
            <w:tcW w:w="1561" w:type="dxa"/>
          </w:tcPr>
          <w:p w14:paraId="6AC90E15" w14:textId="373C3C51" w:rsidR="0038631B" w:rsidRPr="00C35A34" w:rsidRDefault="002634A0" w:rsidP="00D73869">
            <w:pPr>
              <w:pStyle w:val="Tablicadanerodek"/>
            </w:pPr>
            <w:r>
              <w:t>0,0</w:t>
            </w:r>
          </w:p>
        </w:tc>
      </w:tr>
      <w:tr w:rsidR="0038631B" w14:paraId="1EF56C53" w14:textId="77777777" w:rsidTr="00980C2F">
        <w:trPr>
          <w:trHeight w:val="300"/>
        </w:trPr>
        <w:tc>
          <w:tcPr>
            <w:tcW w:w="3687" w:type="dxa"/>
            <w:noWrap/>
          </w:tcPr>
          <w:p w14:paraId="0A0002A7" w14:textId="77777777" w:rsidR="0038631B" w:rsidRDefault="0038631B" w:rsidP="00D73869">
            <w:pPr>
              <w:pStyle w:val="Tablicaboczekwcicie2"/>
              <w:ind w:left="0"/>
            </w:pPr>
            <w:r>
              <w:t>Olej opałowy</w:t>
            </w:r>
          </w:p>
        </w:tc>
        <w:tc>
          <w:tcPr>
            <w:tcW w:w="1195" w:type="dxa"/>
          </w:tcPr>
          <w:p w14:paraId="3D7263E2" w14:textId="62C56B6B" w:rsidR="0038631B" w:rsidRPr="00C35A34" w:rsidRDefault="002634A0" w:rsidP="00D73869">
            <w:pPr>
              <w:pStyle w:val="Tablicadanerodek"/>
            </w:pPr>
            <w:r>
              <w:t>1,4</w:t>
            </w:r>
          </w:p>
        </w:tc>
        <w:tc>
          <w:tcPr>
            <w:tcW w:w="1354" w:type="dxa"/>
          </w:tcPr>
          <w:p w14:paraId="686EBD2D" w14:textId="559F47BE" w:rsidR="0038631B" w:rsidRPr="00C35A34" w:rsidRDefault="002634A0" w:rsidP="00D73869">
            <w:pPr>
              <w:pStyle w:val="Tablicadanerodek"/>
            </w:pPr>
            <w:r>
              <w:t>1,0</w:t>
            </w:r>
          </w:p>
        </w:tc>
        <w:tc>
          <w:tcPr>
            <w:tcW w:w="1561" w:type="dxa"/>
          </w:tcPr>
          <w:p w14:paraId="7B5C4CA6" w14:textId="1797D8B8" w:rsidR="0038631B" w:rsidRPr="00C35A34" w:rsidRDefault="002634A0" w:rsidP="00D73869">
            <w:pPr>
              <w:pStyle w:val="Tablicadanerodek"/>
            </w:pPr>
            <w:r>
              <w:t>0,4</w:t>
            </w:r>
          </w:p>
        </w:tc>
      </w:tr>
      <w:tr w:rsidR="0038631B" w14:paraId="003B754F" w14:textId="77777777" w:rsidTr="00980C2F">
        <w:trPr>
          <w:trHeight w:val="300"/>
        </w:trPr>
        <w:tc>
          <w:tcPr>
            <w:tcW w:w="3687" w:type="dxa"/>
            <w:noWrap/>
          </w:tcPr>
          <w:p w14:paraId="5D63F27C" w14:textId="77777777" w:rsidR="0038631B" w:rsidRDefault="0038631B" w:rsidP="00D73869">
            <w:pPr>
              <w:pStyle w:val="Tablicaboczekwcicie2"/>
              <w:ind w:left="0"/>
            </w:pPr>
            <w:r>
              <w:t>Energia elektryczna</w:t>
            </w:r>
          </w:p>
        </w:tc>
        <w:tc>
          <w:tcPr>
            <w:tcW w:w="1195" w:type="dxa"/>
          </w:tcPr>
          <w:p w14:paraId="5E5A5AD5" w14:textId="3DC85A55" w:rsidR="0038631B" w:rsidRPr="00C35A34" w:rsidRDefault="002634A0" w:rsidP="00D73869">
            <w:pPr>
              <w:pStyle w:val="Tablicadanerodek"/>
            </w:pPr>
            <w:r>
              <w:t>1,2</w:t>
            </w:r>
          </w:p>
        </w:tc>
        <w:tc>
          <w:tcPr>
            <w:tcW w:w="1354" w:type="dxa"/>
          </w:tcPr>
          <w:p w14:paraId="4B5B8AC6" w14:textId="603E7C29" w:rsidR="0038631B" w:rsidRPr="00C35A34" w:rsidRDefault="002634A0" w:rsidP="00D73869">
            <w:pPr>
              <w:pStyle w:val="Tablicadanerodek"/>
            </w:pPr>
            <w:r>
              <w:t>0,4</w:t>
            </w:r>
          </w:p>
        </w:tc>
        <w:tc>
          <w:tcPr>
            <w:tcW w:w="1561" w:type="dxa"/>
          </w:tcPr>
          <w:p w14:paraId="11E7AF44" w14:textId="5B1420C2" w:rsidR="0038631B" w:rsidRPr="00C35A34" w:rsidRDefault="002634A0" w:rsidP="00D73869">
            <w:pPr>
              <w:pStyle w:val="Tablicadanerodek"/>
            </w:pPr>
            <w:r>
              <w:t>0,8</w:t>
            </w:r>
          </w:p>
        </w:tc>
      </w:tr>
      <w:tr w:rsidR="0038631B" w14:paraId="7D5A0306" w14:textId="77777777" w:rsidTr="00980C2F">
        <w:trPr>
          <w:trHeight w:val="300"/>
        </w:trPr>
        <w:tc>
          <w:tcPr>
            <w:tcW w:w="3687" w:type="dxa"/>
            <w:noWrap/>
          </w:tcPr>
          <w:p w14:paraId="0410149F" w14:textId="77777777" w:rsidR="0038631B" w:rsidRDefault="0038631B" w:rsidP="00D73869">
            <w:pPr>
              <w:pStyle w:val="Tablicaboczekwcicie2"/>
              <w:ind w:left="0"/>
            </w:pPr>
            <w:r>
              <w:t>Drewno</w:t>
            </w:r>
          </w:p>
        </w:tc>
        <w:tc>
          <w:tcPr>
            <w:tcW w:w="1195" w:type="dxa"/>
          </w:tcPr>
          <w:p w14:paraId="77F3BEB9" w14:textId="7EBB4FA7" w:rsidR="0038631B" w:rsidRPr="00C35A34" w:rsidRDefault="002634A0" w:rsidP="00D73869">
            <w:pPr>
              <w:pStyle w:val="Tablicadanerodek"/>
            </w:pPr>
            <w:r>
              <w:t>76,1</w:t>
            </w:r>
          </w:p>
        </w:tc>
        <w:tc>
          <w:tcPr>
            <w:tcW w:w="1354" w:type="dxa"/>
          </w:tcPr>
          <w:p w14:paraId="5CE8B8CD" w14:textId="4574A261" w:rsidR="0038631B" w:rsidRPr="00C35A34" w:rsidRDefault="002634A0" w:rsidP="00D73869">
            <w:pPr>
              <w:pStyle w:val="Tablicadanerodek"/>
            </w:pPr>
            <w:r>
              <w:t>54,4</w:t>
            </w:r>
          </w:p>
        </w:tc>
        <w:tc>
          <w:tcPr>
            <w:tcW w:w="1561" w:type="dxa"/>
          </w:tcPr>
          <w:p w14:paraId="67067241" w14:textId="39792279" w:rsidR="0038631B" w:rsidRPr="00C35A34" w:rsidRDefault="002634A0" w:rsidP="00D73869">
            <w:pPr>
              <w:pStyle w:val="Tablicadanerodek"/>
            </w:pPr>
            <w:r>
              <w:t>21,8</w:t>
            </w:r>
          </w:p>
        </w:tc>
      </w:tr>
      <w:tr w:rsidR="0038631B" w14:paraId="690186C8" w14:textId="77777777" w:rsidTr="00980C2F">
        <w:trPr>
          <w:trHeight w:val="300"/>
        </w:trPr>
        <w:tc>
          <w:tcPr>
            <w:tcW w:w="3687" w:type="dxa"/>
            <w:noWrap/>
          </w:tcPr>
          <w:p w14:paraId="0132EE1A" w14:textId="77777777" w:rsidR="0038631B" w:rsidRDefault="0038631B" w:rsidP="00D73869">
            <w:pPr>
              <w:pStyle w:val="Tablicaboczekwcicie2"/>
              <w:ind w:left="0"/>
            </w:pPr>
            <w:r>
              <w:t>Biomasa pochodząca z produkcji rolnej</w:t>
            </w:r>
          </w:p>
        </w:tc>
        <w:tc>
          <w:tcPr>
            <w:tcW w:w="1195" w:type="dxa"/>
          </w:tcPr>
          <w:p w14:paraId="19E504BC" w14:textId="1C108DEF" w:rsidR="0038631B" w:rsidRPr="00C35A34" w:rsidRDefault="002634A0" w:rsidP="00D73869">
            <w:pPr>
              <w:pStyle w:val="Tablicadanerodek"/>
            </w:pPr>
            <w:r>
              <w:t>0,0</w:t>
            </w:r>
          </w:p>
        </w:tc>
        <w:tc>
          <w:tcPr>
            <w:tcW w:w="1354" w:type="dxa"/>
          </w:tcPr>
          <w:p w14:paraId="01F35700" w14:textId="69189BAC" w:rsidR="0038631B" w:rsidRPr="00C35A34" w:rsidRDefault="002634A0" w:rsidP="00D73869">
            <w:pPr>
              <w:pStyle w:val="Tablicadanerodek"/>
            </w:pPr>
            <w:r>
              <w:t>0,0</w:t>
            </w:r>
          </w:p>
        </w:tc>
        <w:tc>
          <w:tcPr>
            <w:tcW w:w="1561" w:type="dxa"/>
          </w:tcPr>
          <w:p w14:paraId="6F5D4A8A" w14:textId="3797C754" w:rsidR="0038631B" w:rsidRPr="00C35A34" w:rsidRDefault="002634A0" w:rsidP="00D73869">
            <w:pPr>
              <w:pStyle w:val="Tablicadanerodek"/>
            </w:pPr>
            <w:r>
              <w:t>0,0</w:t>
            </w:r>
          </w:p>
        </w:tc>
      </w:tr>
      <w:tr w:rsidR="0038631B" w14:paraId="1826F363" w14:textId="77777777" w:rsidTr="00980C2F">
        <w:trPr>
          <w:trHeight w:val="300"/>
        </w:trPr>
        <w:tc>
          <w:tcPr>
            <w:tcW w:w="3687" w:type="dxa"/>
            <w:noWrap/>
          </w:tcPr>
          <w:p w14:paraId="7A9C9C84" w14:textId="77777777" w:rsidR="0038631B" w:rsidRDefault="0038631B" w:rsidP="00D73869">
            <w:pPr>
              <w:pStyle w:val="Tablicaboczekwcicie2"/>
              <w:ind w:left="0"/>
            </w:pPr>
            <w:r>
              <w:t>Energia słoneczna</w:t>
            </w:r>
          </w:p>
        </w:tc>
        <w:tc>
          <w:tcPr>
            <w:tcW w:w="1195" w:type="dxa"/>
          </w:tcPr>
          <w:p w14:paraId="652D6970" w14:textId="0D83C04C" w:rsidR="0038631B" w:rsidRPr="00C35A34" w:rsidRDefault="002634A0" w:rsidP="00D73869">
            <w:pPr>
              <w:pStyle w:val="Tablicadanerodek"/>
            </w:pPr>
            <w:r>
              <w:t>0,3</w:t>
            </w:r>
          </w:p>
        </w:tc>
        <w:tc>
          <w:tcPr>
            <w:tcW w:w="1354" w:type="dxa"/>
          </w:tcPr>
          <w:p w14:paraId="1A32E6B3" w14:textId="79A74D8A" w:rsidR="0038631B" w:rsidRPr="00C35A34" w:rsidRDefault="002634A0" w:rsidP="00D73869">
            <w:pPr>
              <w:pStyle w:val="Tablicadanerodek"/>
            </w:pPr>
            <w:r>
              <w:t>0,2</w:t>
            </w:r>
          </w:p>
        </w:tc>
        <w:tc>
          <w:tcPr>
            <w:tcW w:w="1561" w:type="dxa"/>
          </w:tcPr>
          <w:p w14:paraId="2DC921EB" w14:textId="4843C870" w:rsidR="0038631B" w:rsidRPr="00C35A34" w:rsidRDefault="002634A0" w:rsidP="00D73869">
            <w:pPr>
              <w:pStyle w:val="Tablicadanerodek"/>
            </w:pPr>
            <w:r>
              <w:t>0,1</w:t>
            </w:r>
          </w:p>
        </w:tc>
      </w:tr>
      <w:tr w:rsidR="0038631B" w14:paraId="07A63492" w14:textId="77777777" w:rsidTr="00980C2F">
        <w:trPr>
          <w:trHeight w:val="300"/>
        </w:trPr>
        <w:tc>
          <w:tcPr>
            <w:tcW w:w="3687" w:type="dxa"/>
            <w:noWrap/>
          </w:tcPr>
          <w:p w14:paraId="2953ED97" w14:textId="77777777" w:rsidR="0038631B" w:rsidRDefault="0038631B" w:rsidP="00D73869">
            <w:pPr>
              <w:pStyle w:val="Tablicaboczekwcicie2"/>
              <w:ind w:left="0"/>
            </w:pPr>
            <w:r>
              <w:t>Energia pozyskiwana z otoczenia</w:t>
            </w:r>
          </w:p>
        </w:tc>
        <w:tc>
          <w:tcPr>
            <w:tcW w:w="1195" w:type="dxa"/>
          </w:tcPr>
          <w:p w14:paraId="13CE7E6B" w14:textId="586C9ADD" w:rsidR="0038631B" w:rsidRPr="00C35A34" w:rsidRDefault="002634A0" w:rsidP="00D73869">
            <w:pPr>
              <w:pStyle w:val="Tablicadanerodek"/>
            </w:pPr>
            <w:r>
              <w:t>2,0</w:t>
            </w:r>
          </w:p>
        </w:tc>
        <w:tc>
          <w:tcPr>
            <w:tcW w:w="1354" w:type="dxa"/>
          </w:tcPr>
          <w:p w14:paraId="73D48A10" w14:textId="3AD8D74A" w:rsidR="0038631B" w:rsidRPr="00C35A34" w:rsidRDefault="002634A0" w:rsidP="00D73869">
            <w:pPr>
              <w:pStyle w:val="Tablicadanerodek"/>
            </w:pPr>
            <w:r>
              <w:t>1,1</w:t>
            </w:r>
          </w:p>
        </w:tc>
        <w:tc>
          <w:tcPr>
            <w:tcW w:w="1561" w:type="dxa"/>
          </w:tcPr>
          <w:p w14:paraId="3BC174AF" w14:textId="0126B185" w:rsidR="0038631B" w:rsidRPr="00C35A34" w:rsidRDefault="002634A0" w:rsidP="00D73869">
            <w:pPr>
              <w:pStyle w:val="Tablicadanerodek"/>
            </w:pPr>
            <w:r>
              <w:t>0,9</w:t>
            </w:r>
          </w:p>
        </w:tc>
      </w:tr>
      <w:tr w:rsidR="0038631B" w14:paraId="57CD2BC4" w14:textId="77777777" w:rsidTr="00980C2F">
        <w:trPr>
          <w:trHeight w:val="300"/>
        </w:trPr>
        <w:tc>
          <w:tcPr>
            <w:tcW w:w="3687" w:type="dxa"/>
            <w:noWrap/>
          </w:tcPr>
          <w:p w14:paraId="0E3B7419" w14:textId="77777777" w:rsidR="0038631B" w:rsidRDefault="0038631B" w:rsidP="00D73869">
            <w:pPr>
              <w:pStyle w:val="Tablicaboczekwcicie2"/>
              <w:ind w:left="0"/>
            </w:pPr>
            <w:r>
              <w:t>Pozostałe</w:t>
            </w:r>
          </w:p>
        </w:tc>
        <w:tc>
          <w:tcPr>
            <w:tcW w:w="1195" w:type="dxa"/>
          </w:tcPr>
          <w:p w14:paraId="19E19942" w14:textId="6ADA598D" w:rsidR="0038631B" w:rsidRPr="00C35A34" w:rsidRDefault="002634A0" w:rsidP="00D73869">
            <w:pPr>
              <w:pStyle w:val="Tablicadanerodek"/>
            </w:pPr>
            <w:r>
              <w:t>0,2</w:t>
            </w:r>
          </w:p>
        </w:tc>
        <w:tc>
          <w:tcPr>
            <w:tcW w:w="1354" w:type="dxa"/>
          </w:tcPr>
          <w:p w14:paraId="7EC138F6" w14:textId="01DF1E50" w:rsidR="0038631B" w:rsidRPr="00C35A34" w:rsidRDefault="002634A0" w:rsidP="00D73869">
            <w:pPr>
              <w:pStyle w:val="Tablicadanerodek"/>
            </w:pPr>
            <w:r>
              <w:t>0,1</w:t>
            </w:r>
          </w:p>
        </w:tc>
        <w:tc>
          <w:tcPr>
            <w:tcW w:w="1561" w:type="dxa"/>
          </w:tcPr>
          <w:p w14:paraId="55B33A37" w14:textId="66D2AB66" w:rsidR="0038631B" w:rsidRPr="00C35A34" w:rsidRDefault="002634A0" w:rsidP="00D73869">
            <w:pPr>
              <w:pStyle w:val="Tablicadanerodek"/>
            </w:pPr>
            <w:r>
              <w:t>0,1</w:t>
            </w:r>
          </w:p>
        </w:tc>
      </w:tr>
      <w:tr w:rsidR="0038631B" w14:paraId="58671A07" w14:textId="77777777" w:rsidTr="00980C2F">
        <w:trPr>
          <w:trHeight w:val="300"/>
        </w:trPr>
        <w:tc>
          <w:tcPr>
            <w:tcW w:w="3687" w:type="dxa"/>
            <w:noWrap/>
          </w:tcPr>
          <w:p w14:paraId="7514EB98" w14:textId="77777777" w:rsidR="0038631B" w:rsidRDefault="0038631B" w:rsidP="00D73869">
            <w:pPr>
              <w:pStyle w:val="Tablicaboczekwcicie2"/>
              <w:ind w:left="0"/>
            </w:pPr>
            <w:r>
              <w:t>Nieustalone</w:t>
            </w:r>
          </w:p>
        </w:tc>
        <w:tc>
          <w:tcPr>
            <w:tcW w:w="1195" w:type="dxa"/>
          </w:tcPr>
          <w:p w14:paraId="3E9F2DEA" w14:textId="3067AC25" w:rsidR="0038631B" w:rsidRDefault="002634A0" w:rsidP="00D73869">
            <w:pPr>
              <w:pStyle w:val="Tablicadanerodek"/>
            </w:pPr>
            <w:r>
              <w:t>59,0</w:t>
            </w:r>
          </w:p>
        </w:tc>
        <w:tc>
          <w:tcPr>
            <w:tcW w:w="1354" w:type="dxa"/>
          </w:tcPr>
          <w:p w14:paraId="7BB1420C" w14:textId="5A72DEBF" w:rsidR="0038631B" w:rsidRDefault="002634A0" w:rsidP="00D73869">
            <w:pPr>
              <w:pStyle w:val="Tablicadanerodek"/>
            </w:pPr>
            <w:r>
              <w:t>29,9</w:t>
            </w:r>
          </w:p>
        </w:tc>
        <w:tc>
          <w:tcPr>
            <w:tcW w:w="1561" w:type="dxa"/>
          </w:tcPr>
          <w:p w14:paraId="5A3FB09B" w14:textId="5D494C06" w:rsidR="0038631B" w:rsidRDefault="002634A0" w:rsidP="00D73869">
            <w:pPr>
              <w:pStyle w:val="Tablicadanerodek"/>
            </w:pPr>
            <w:r>
              <w:t>29,1</w:t>
            </w:r>
          </w:p>
        </w:tc>
      </w:tr>
    </w:tbl>
    <w:p w14:paraId="065E51B8" w14:textId="77777777" w:rsidR="0038631B" w:rsidRPr="001A2F75" w:rsidRDefault="0038631B" w:rsidP="00D73869">
      <w:pPr>
        <w:pStyle w:val="Przypis"/>
        <w:spacing w:after="120" w:line="240" w:lineRule="exact"/>
        <w:rPr>
          <w:lang w:val="pl-PL" w:eastAsia="pl-PL"/>
        </w:rPr>
      </w:pPr>
      <w:r w:rsidRPr="00C71899">
        <w:rPr>
          <w:sz w:val="16"/>
          <w:szCs w:val="16"/>
          <w:lang w:val="pl-PL" w:eastAsia="pl-PL"/>
        </w:rPr>
        <w:t xml:space="preserve">a </w:t>
      </w:r>
      <w:r w:rsidRPr="00FC1199">
        <w:rPr>
          <w:sz w:val="16"/>
          <w:szCs w:val="16"/>
          <w:lang w:val="pl-PL" w:eastAsia="pl-PL"/>
        </w:rPr>
        <w:t>Dotyczy mieszkań ogrzewanych z wykorzystaniem piec</w:t>
      </w:r>
      <w:r>
        <w:rPr>
          <w:sz w:val="16"/>
          <w:szCs w:val="16"/>
          <w:lang w:val="pl-PL" w:eastAsia="pl-PL"/>
        </w:rPr>
        <w:t>ów</w:t>
      </w:r>
      <w:r w:rsidRPr="00FC1199">
        <w:rPr>
          <w:sz w:val="16"/>
          <w:szCs w:val="16"/>
          <w:lang w:val="pl-PL" w:eastAsia="pl-PL"/>
        </w:rPr>
        <w:t xml:space="preserve"> (np. kaflowych) lub innych przenośnych urządzeń na paliwa stałe oraz pozostały</w:t>
      </w:r>
      <w:r>
        <w:rPr>
          <w:sz w:val="16"/>
          <w:szCs w:val="16"/>
          <w:lang w:val="pl-PL" w:eastAsia="pl-PL"/>
        </w:rPr>
        <w:t>ch</w:t>
      </w:r>
      <w:r w:rsidRPr="00FC1199">
        <w:rPr>
          <w:sz w:val="16"/>
          <w:szCs w:val="16"/>
          <w:lang w:val="pl-PL" w:eastAsia="pl-PL"/>
        </w:rPr>
        <w:t xml:space="preserve"> przenośny</w:t>
      </w:r>
      <w:r>
        <w:rPr>
          <w:sz w:val="16"/>
          <w:szCs w:val="16"/>
          <w:lang w:val="pl-PL" w:eastAsia="pl-PL"/>
        </w:rPr>
        <w:t>ch</w:t>
      </w:r>
      <w:r w:rsidRPr="00FC1199">
        <w:rPr>
          <w:sz w:val="16"/>
          <w:szCs w:val="16"/>
          <w:lang w:val="pl-PL" w:eastAsia="pl-PL"/>
        </w:rPr>
        <w:t xml:space="preserve"> urządze</w:t>
      </w:r>
      <w:r>
        <w:rPr>
          <w:sz w:val="16"/>
          <w:szCs w:val="16"/>
          <w:lang w:val="pl-PL" w:eastAsia="pl-PL"/>
        </w:rPr>
        <w:t>ń</w:t>
      </w:r>
      <w:r w:rsidRPr="00FC1199">
        <w:rPr>
          <w:sz w:val="16"/>
          <w:szCs w:val="16"/>
          <w:lang w:val="pl-PL" w:eastAsia="pl-PL"/>
        </w:rPr>
        <w:t xml:space="preserve"> wytwarzający</w:t>
      </w:r>
      <w:r>
        <w:rPr>
          <w:sz w:val="16"/>
          <w:szCs w:val="16"/>
          <w:lang w:val="pl-PL" w:eastAsia="pl-PL"/>
        </w:rPr>
        <w:t>ch</w:t>
      </w:r>
      <w:r w:rsidRPr="00FC1199">
        <w:rPr>
          <w:sz w:val="16"/>
          <w:szCs w:val="16"/>
          <w:lang w:val="pl-PL" w:eastAsia="pl-PL"/>
        </w:rPr>
        <w:t xml:space="preserve"> ciepło</w:t>
      </w:r>
      <w:r>
        <w:rPr>
          <w:sz w:val="16"/>
          <w:szCs w:val="16"/>
          <w:lang w:val="pl-PL" w:eastAsia="pl-PL"/>
        </w:rPr>
        <w:t>.</w:t>
      </w:r>
    </w:p>
    <w:p w14:paraId="6B71A4C8" w14:textId="77777777" w:rsidR="0038631B" w:rsidRPr="00202D26" w:rsidRDefault="0038631B" w:rsidP="0038631B">
      <w:pPr>
        <w:contextualSpacing/>
        <w:rPr>
          <w:rFonts w:eastAsia="Fira Sans" w:cs="Fira Sans"/>
          <w:color w:val="7F7F7F" w:themeColor="text1" w:themeTint="80"/>
        </w:rPr>
      </w:pPr>
    </w:p>
    <w:p w14:paraId="01CB7B8E" w14:textId="3E1F5D3F" w:rsidR="0038631B" w:rsidRDefault="0038631B" w:rsidP="008E04CC">
      <w:pPr>
        <w:pStyle w:val="Nagwek1"/>
        <w:pageBreakBefore/>
        <w:rPr>
          <w:rFonts w:ascii="Fira Sans" w:hAnsi="Fira Sans"/>
          <w:b/>
          <w:szCs w:val="19"/>
        </w:rPr>
      </w:pPr>
      <w:r w:rsidRPr="001F1E2C">
        <w:rPr>
          <w:rFonts w:ascii="Fira Sans" w:hAnsi="Fira Sans"/>
          <w:b/>
          <w:szCs w:val="19"/>
        </w:rPr>
        <w:lastRenderedPageBreak/>
        <w:t>Wyposażenie budynków w urząd</w:t>
      </w:r>
      <w:r>
        <w:rPr>
          <w:rFonts w:ascii="Fira Sans" w:hAnsi="Fira Sans"/>
          <w:b/>
          <w:szCs w:val="19"/>
        </w:rPr>
        <w:t>z</w:t>
      </w:r>
      <w:r w:rsidRPr="001F1E2C">
        <w:rPr>
          <w:rFonts w:ascii="Fira Sans" w:hAnsi="Fira Sans"/>
          <w:b/>
          <w:szCs w:val="19"/>
        </w:rPr>
        <w:t>enia t</w:t>
      </w:r>
      <w:r>
        <w:rPr>
          <w:rFonts w:ascii="Fira Sans" w:hAnsi="Fira Sans"/>
          <w:b/>
          <w:szCs w:val="19"/>
        </w:rPr>
        <w:t>echniczne</w:t>
      </w:r>
    </w:p>
    <w:p w14:paraId="544921F6" w14:textId="16F2A7F0" w:rsidR="0043548C" w:rsidRPr="0043548C" w:rsidRDefault="0043548C" w:rsidP="0043548C">
      <w:pPr>
        <w:rPr>
          <w:lang w:eastAsia="pl-PL"/>
        </w:rPr>
      </w:pPr>
      <w:r>
        <w:rPr>
          <w:lang w:eastAsia="pl-PL"/>
        </w:rPr>
        <w:t xml:space="preserve">W porównaniu ze spisem przeprowadzonym w 2011 r. </w:t>
      </w:r>
      <w:r w:rsidR="002E5706">
        <w:rPr>
          <w:lang w:eastAsia="pl-PL"/>
        </w:rPr>
        <w:t xml:space="preserve">największy </w:t>
      </w:r>
      <w:r>
        <w:rPr>
          <w:lang w:eastAsia="pl-PL"/>
        </w:rPr>
        <w:t>wzrost</w:t>
      </w:r>
      <w:r w:rsidR="005C7DC8">
        <w:rPr>
          <w:lang w:eastAsia="pl-PL"/>
        </w:rPr>
        <w:t xml:space="preserve"> </w:t>
      </w:r>
      <w:r>
        <w:rPr>
          <w:lang w:eastAsia="pl-PL"/>
        </w:rPr>
        <w:t xml:space="preserve">odnotowano w przypadku budynków wyposażonych w gaz z sieci (o 52,2%). Liczba </w:t>
      </w:r>
      <w:r w:rsidR="002E5706">
        <w:rPr>
          <w:lang w:eastAsia="pl-PL"/>
        </w:rPr>
        <w:t>budynków</w:t>
      </w:r>
      <w:r>
        <w:rPr>
          <w:lang w:eastAsia="pl-PL"/>
        </w:rPr>
        <w:t xml:space="preserve"> wyposażonych w</w:t>
      </w:r>
      <w:r w:rsidR="003A3A50">
        <w:rPr>
          <w:lang w:eastAsia="pl-PL"/>
        </w:rPr>
        <w:t>:</w:t>
      </w:r>
      <w:r>
        <w:rPr>
          <w:lang w:eastAsia="pl-PL"/>
        </w:rPr>
        <w:t xml:space="preserve"> centralne ogrzewanie wzrosła o 11,0%, </w:t>
      </w:r>
      <w:r w:rsidR="003A3A50">
        <w:rPr>
          <w:lang w:eastAsia="pl-PL"/>
        </w:rPr>
        <w:t xml:space="preserve">kanalizację – o 6,5%, wodociąg o 4,8%. </w:t>
      </w:r>
      <w:r w:rsidR="003A3A50" w:rsidRPr="003A3A50">
        <w:rPr>
          <w:lang w:eastAsia="pl-PL"/>
        </w:rPr>
        <w:t>Wzrost liczby budynków, do których doprowadzone są jednocześnie wodociąg, kanalizacja i centralne ogrzewanie</w:t>
      </w:r>
      <w:r w:rsidR="005C55AE">
        <w:rPr>
          <w:lang w:eastAsia="pl-PL"/>
        </w:rPr>
        <w:t xml:space="preserve"> </w:t>
      </w:r>
      <w:r w:rsidR="003A3A50">
        <w:rPr>
          <w:lang w:eastAsia="pl-PL"/>
        </w:rPr>
        <w:t>wyn</w:t>
      </w:r>
      <w:r w:rsidR="00B730E8">
        <w:rPr>
          <w:lang w:eastAsia="pl-PL"/>
        </w:rPr>
        <w:t>iósł</w:t>
      </w:r>
      <w:r w:rsidR="003A3A50">
        <w:rPr>
          <w:lang w:eastAsia="pl-PL"/>
        </w:rPr>
        <w:t xml:space="preserve"> 2,7%.</w:t>
      </w:r>
    </w:p>
    <w:p w14:paraId="54AA9423" w14:textId="43569440" w:rsidR="0038631B" w:rsidRPr="000D2684" w:rsidRDefault="0038631B" w:rsidP="005C6C8B">
      <w:pPr>
        <w:spacing w:before="360" w:line="240" w:lineRule="auto"/>
        <w:rPr>
          <w:rFonts w:eastAsia="Times New Roman" w:cs="Times New Roman"/>
          <w:b/>
          <w:szCs w:val="19"/>
          <w:lang w:eastAsia="pl-PL"/>
        </w:rPr>
      </w:pPr>
      <w:r w:rsidRPr="000D2684">
        <w:rPr>
          <w:rFonts w:eastAsia="Times New Roman" w:cs="Times New Roman"/>
          <w:b/>
          <w:szCs w:val="19"/>
          <w:lang w:eastAsia="pl-PL"/>
        </w:rPr>
        <w:t xml:space="preserve">Tablica </w:t>
      </w:r>
      <w:r>
        <w:rPr>
          <w:rFonts w:eastAsia="Times New Roman" w:cs="Times New Roman"/>
          <w:b/>
          <w:szCs w:val="19"/>
          <w:lang w:eastAsia="pl-PL"/>
        </w:rPr>
        <w:t>3</w:t>
      </w:r>
      <w:r w:rsidR="00EF31F0">
        <w:rPr>
          <w:rFonts w:eastAsia="Times New Roman" w:cs="Times New Roman"/>
          <w:b/>
          <w:szCs w:val="19"/>
          <w:lang w:eastAsia="pl-PL"/>
        </w:rPr>
        <w:t>. Wyposażenie budynków</w:t>
      </w:r>
      <w:r w:rsidRPr="000D2684">
        <w:rPr>
          <w:rFonts w:eastAsia="Times New Roman" w:cs="Times New Roman"/>
          <w:b/>
          <w:szCs w:val="19"/>
          <w:lang w:eastAsia="pl-PL"/>
        </w:rPr>
        <w:t xml:space="preserve"> w urządzenia techniczn</w:t>
      </w:r>
      <w:r>
        <w:rPr>
          <w:rFonts w:eastAsia="Times New Roman" w:cs="Times New Roman"/>
          <w:b/>
          <w:szCs w:val="19"/>
          <w:lang w:eastAsia="pl-PL"/>
        </w:rPr>
        <w:t>e</w:t>
      </w:r>
      <w:r w:rsidRPr="000D2684">
        <w:rPr>
          <w:rFonts w:eastAsia="Times New Roman" w:cs="Times New Roman"/>
          <w:b/>
          <w:szCs w:val="19"/>
          <w:lang w:eastAsia="pl-PL"/>
        </w:rPr>
        <w:t xml:space="preserve"> </w:t>
      </w:r>
      <w:r>
        <w:rPr>
          <w:rFonts w:eastAsia="Times New Roman" w:cs="Times New Roman"/>
          <w:b/>
          <w:szCs w:val="19"/>
          <w:lang w:eastAsia="pl-PL"/>
        </w:rPr>
        <w:t>(stan w dniu 31 marca)</w:t>
      </w:r>
    </w:p>
    <w:tbl>
      <w:tblPr>
        <w:tblW w:w="7797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Budynki według stopnia wyposażenia w urządzenia techniczne (stan w dniu 31 marca)"/>
        <w:tblDescription w:val="Budynki w latach 2011 i 2021 według stopania wyposażenia w urzadzenia techniczne. Dane w wartosciach bezwzględnych oraz zmiana w porówaniu do 2011 r."/>
      </w:tblPr>
      <w:tblGrid>
        <w:gridCol w:w="3402"/>
        <w:gridCol w:w="1465"/>
        <w:gridCol w:w="1465"/>
        <w:gridCol w:w="1465"/>
      </w:tblGrid>
      <w:tr w:rsidR="008213E4" w14:paraId="7068A17D" w14:textId="77777777" w:rsidTr="005C5517">
        <w:trPr>
          <w:trHeight w:val="456"/>
        </w:trPr>
        <w:tc>
          <w:tcPr>
            <w:tcW w:w="3402" w:type="dxa"/>
            <w:vMerge w:val="restart"/>
            <w:vAlign w:val="center"/>
          </w:tcPr>
          <w:p w14:paraId="3E19BDEB" w14:textId="01D0E2E9" w:rsidR="008213E4" w:rsidRPr="00A51DB6" w:rsidRDefault="008213E4" w:rsidP="00D46650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465" w:type="dxa"/>
            <w:vAlign w:val="center"/>
          </w:tcPr>
          <w:p w14:paraId="7C97A3A7" w14:textId="3F9C8AB3" w:rsidR="008213E4" w:rsidRPr="00A51DB6" w:rsidRDefault="008213E4" w:rsidP="00D46650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2011</w:t>
            </w:r>
          </w:p>
        </w:tc>
        <w:tc>
          <w:tcPr>
            <w:tcW w:w="2930" w:type="dxa"/>
            <w:gridSpan w:val="2"/>
            <w:vAlign w:val="center"/>
          </w:tcPr>
          <w:p w14:paraId="00EF1E43" w14:textId="26C19591" w:rsidR="008213E4" w:rsidRPr="00A51DB6" w:rsidRDefault="008213E4" w:rsidP="00D46650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8213E4" w14:paraId="75ED4D51" w14:textId="77777777" w:rsidTr="00CD6C58">
        <w:trPr>
          <w:trHeight w:val="456"/>
        </w:trPr>
        <w:tc>
          <w:tcPr>
            <w:tcW w:w="3402" w:type="dxa"/>
            <w:vMerge/>
            <w:vAlign w:val="center"/>
            <w:hideMark/>
          </w:tcPr>
          <w:p w14:paraId="099EDE6A" w14:textId="77777777" w:rsidR="008213E4" w:rsidRPr="00A51DB6" w:rsidRDefault="008213E4" w:rsidP="00D46650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930" w:type="dxa"/>
            <w:gridSpan w:val="2"/>
            <w:vAlign w:val="center"/>
            <w:hideMark/>
          </w:tcPr>
          <w:p w14:paraId="2C944160" w14:textId="2E3D8C6D" w:rsidR="008213E4" w:rsidRPr="00A51DB6" w:rsidRDefault="008213E4" w:rsidP="008213E4">
            <w:pPr>
              <w:pStyle w:val="Tablicagwkarodek"/>
              <w:rPr>
                <w:rFonts w:eastAsia="Fira Sans Light" w:cs="Times New Roman"/>
              </w:rPr>
            </w:pPr>
            <w:r w:rsidRPr="00A51DB6">
              <w:rPr>
                <w:rFonts w:eastAsia="Fira Sans Light" w:cs="Times New Roman"/>
              </w:rPr>
              <w:t>w tys</w:t>
            </w:r>
            <w:r w:rsidR="002E214B">
              <w:rPr>
                <w:rFonts w:eastAsia="Fira Sans Light" w:cs="Times New Roman"/>
              </w:rPr>
              <w:t>iącach</w:t>
            </w:r>
          </w:p>
        </w:tc>
        <w:tc>
          <w:tcPr>
            <w:tcW w:w="1465" w:type="dxa"/>
            <w:vAlign w:val="center"/>
          </w:tcPr>
          <w:p w14:paraId="4E9CCB54" w14:textId="3F4171BD" w:rsidR="008213E4" w:rsidRPr="00A51DB6" w:rsidRDefault="008213E4" w:rsidP="00D46650">
            <w:pPr>
              <w:pStyle w:val="Tablicagwkarodek"/>
              <w:rPr>
                <w:rFonts w:eastAsia="Fira Sans Light" w:cs="Times New Roman"/>
              </w:rPr>
            </w:pPr>
            <w:r w:rsidRPr="00A51DB6">
              <w:rPr>
                <w:rFonts w:eastAsia="Fira Sans Light" w:cs="Times New Roman"/>
              </w:rPr>
              <w:t>2011=100</w:t>
            </w:r>
          </w:p>
        </w:tc>
      </w:tr>
      <w:tr w:rsidR="00D46650" w:rsidRPr="00C91C89" w14:paraId="661CA187" w14:textId="77777777" w:rsidTr="00D46650">
        <w:trPr>
          <w:trHeight w:val="300"/>
        </w:trPr>
        <w:tc>
          <w:tcPr>
            <w:tcW w:w="3402" w:type="dxa"/>
            <w:noWrap/>
            <w:vAlign w:val="bottom"/>
          </w:tcPr>
          <w:p w14:paraId="2BBC0720" w14:textId="77777777" w:rsidR="00D46650" w:rsidRPr="00A51DB6" w:rsidRDefault="00D46650" w:rsidP="00D46650">
            <w:pPr>
              <w:pStyle w:val="Tablicaboczek"/>
              <w:rPr>
                <w:b/>
              </w:rPr>
            </w:pPr>
            <w:r w:rsidRPr="00A51DB6">
              <w:rPr>
                <w:b/>
              </w:rPr>
              <w:t>Budynki ogółem</w:t>
            </w:r>
          </w:p>
        </w:tc>
        <w:tc>
          <w:tcPr>
            <w:tcW w:w="1465" w:type="dxa"/>
            <w:vAlign w:val="center"/>
          </w:tcPr>
          <w:p w14:paraId="676A2346" w14:textId="0504E5F4" w:rsidR="00D46650" w:rsidRPr="00A51DB6" w:rsidRDefault="00D46650" w:rsidP="00D46650">
            <w:pPr>
              <w:pStyle w:val="Tablicadanerodek"/>
              <w:rPr>
                <w:b/>
              </w:rPr>
            </w:pPr>
            <w:r w:rsidRPr="00A51DB6">
              <w:rPr>
                <w:b/>
              </w:rPr>
              <w:t>265,2</w:t>
            </w:r>
          </w:p>
        </w:tc>
        <w:tc>
          <w:tcPr>
            <w:tcW w:w="1465" w:type="dxa"/>
            <w:vAlign w:val="center"/>
          </w:tcPr>
          <w:p w14:paraId="6DD82DA9" w14:textId="4F2AE031" w:rsidR="00D46650" w:rsidRPr="00A51DB6" w:rsidRDefault="00D46650" w:rsidP="00D46650">
            <w:pPr>
              <w:pStyle w:val="Tablicadanerodek"/>
              <w:rPr>
                <w:b/>
              </w:rPr>
            </w:pPr>
            <w:r w:rsidRPr="00A51DB6">
              <w:rPr>
                <w:b/>
              </w:rPr>
              <w:t>280,5</w:t>
            </w:r>
          </w:p>
        </w:tc>
        <w:tc>
          <w:tcPr>
            <w:tcW w:w="1465" w:type="dxa"/>
            <w:vAlign w:val="center"/>
          </w:tcPr>
          <w:p w14:paraId="195CA88E" w14:textId="4CB53035" w:rsidR="00D46650" w:rsidRPr="00A51DB6" w:rsidRDefault="00D46650" w:rsidP="00D46650">
            <w:pPr>
              <w:pStyle w:val="Tablicadanerodek"/>
              <w:rPr>
                <w:b/>
              </w:rPr>
            </w:pPr>
            <w:r w:rsidRPr="00A51DB6">
              <w:rPr>
                <w:b/>
              </w:rPr>
              <w:t>105,8</w:t>
            </w:r>
          </w:p>
        </w:tc>
      </w:tr>
      <w:tr w:rsidR="00D46650" w14:paraId="7AFE0DF8" w14:textId="77777777" w:rsidTr="00D46650">
        <w:trPr>
          <w:trHeight w:val="300"/>
        </w:trPr>
        <w:tc>
          <w:tcPr>
            <w:tcW w:w="3402" w:type="dxa"/>
            <w:noWrap/>
            <w:vAlign w:val="bottom"/>
          </w:tcPr>
          <w:p w14:paraId="736DA8E2" w14:textId="77777777" w:rsidR="00D46650" w:rsidRPr="00A51DB6" w:rsidRDefault="00D46650" w:rsidP="00D46650">
            <w:pPr>
              <w:pStyle w:val="Tablicaboczek"/>
              <w:ind w:left="176"/>
            </w:pPr>
            <w:r w:rsidRPr="00A51DB6">
              <w:t>w tym wyposażone w:</w:t>
            </w:r>
          </w:p>
        </w:tc>
        <w:tc>
          <w:tcPr>
            <w:tcW w:w="1465" w:type="dxa"/>
            <w:vAlign w:val="center"/>
          </w:tcPr>
          <w:p w14:paraId="50F4D512" w14:textId="77777777" w:rsidR="00D46650" w:rsidRPr="00A51DB6" w:rsidRDefault="00D46650" w:rsidP="00D46650">
            <w:pPr>
              <w:pStyle w:val="Tablicadanerodek"/>
            </w:pPr>
          </w:p>
        </w:tc>
        <w:tc>
          <w:tcPr>
            <w:tcW w:w="1465" w:type="dxa"/>
            <w:vAlign w:val="center"/>
          </w:tcPr>
          <w:p w14:paraId="5B9EEDD4" w14:textId="77777777" w:rsidR="00D46650" w:rsidRPr="00A51DB6" w:rsidRDefault="00D46650" w:rsidP="00D46650">
            <w:pPr>
              <w:pStyle w:val="Tablicadanerodek"/>
            </w:pPr>
          </w:p>
        </w:tc>
        <w:tc>
          <w:tcPr>
            <w:tcW w:w="1465" w:type="dxa"/>
            <w:vAlign w:val="center"/>
          </w:tcPr>
          <w:p w14:paraId="7B16B322" w14:textId="77777777" w:rsidR="00D46650" w:rsidRPr="00A51DB6" w:rsidRDefault="00D46650" w:rsidP="00D46650">
            <w:pPr>
              <w:pStyle w:val="Tablicadanerodek"/>
            </w:pPr>
          </w:p>
        </w:tc>
      </w:tr>
      <w:tr w:rsidR="00D46650" w14:paraId="6242AD58" w14:textId="77777777" w:rsidTr="00D46650">
        <w:trPr>
          <w:trHeight w:val="300"/>
        </w:trPr>
        <w:tc>
          <w:tcPr>
            <w:tcW w:w="3402" w:type="dxa"/>
            <w:noWrap/>
          </w:tcPr>
          <w:p w14:paraId="7F6AEF22" w14:textId="77777777" w:rsidR="00D46650" w:rsidRPr="00A51DB6" w:rsidRDefault="00D46650" w:rsidP="00D46650">
            <w:pPr>
              <w:pStyle w:val="Tablicaboczekwcicie1"/>
              <w:ind w:left="227" w:firstLine="0"/>
              <w:rPr>
                <w:rFonts w:eastAsia="Times New Roman" w:cs="Calibri"/>
                <w:lang w:eastAsia="pl-PL"/>
              </w:rPr>
            </w:pPr>
            <w:r w:rsidRPr="00A51DB6">
              <w:rPr>
                <w:rFonts w:eastAsia="Times New Roman" w:cs="Calibri"/>
                <w:lang w:eastAsia="pl-PL"/>
              </w:rPr>
              <w:t>wodociąg, kanalizację i c.o.</w:t>
            </w:r>
            <w:r w:rsidRPr="00A51DB6">
              <w:rPr>
                <w:rFonts w:eastAsia="Times New Roman" w:cs="Calibri"/>
                <w:vertAlign w:val="superscript"/>
                <w:lang w:eastAsia="pl-PL"/>
              </w:rPr>
              <w:t>a</w:t>
            </w:r>
          </w:p>
        </w:tc>
        <w:tc>
          <w:tcPr>
            <w:tcW w:w="1465" w:type="dxa"/>
            <w:vAlign w:val="center"/>
          </w:tcPr>
          <w:p w14:paraId="4464D7EC" w14:textId="267157ED" w:rsidR="00D46650" w:rsidRPr="00A51DB6" w:rsidRDefault="00D46650" w:rsidP="00D46650">
            <w:pPr>
              <w:pStyle w:val="Tablicadanerodek"/>
            </w:pPr>
            <w:r w:rsidRPr="00A51DB6">
              <w:t>177,4</w:t>
            </w:r>
          </w:p>
        </w:tc>
        <w:tc>
          <w:tcPr>
            <w:tcW w:w="1465" w:type="dxa"/>
            <w:vAlign w:val="center"/>
          </w:tcPr>
          <w:p w14:paraId="6BBC5A37" w14:textId="3AE792FE" w:rsidR="00D46650" w:rsidRPr="00A51DB6" w:rsidRDefault="00D46650" w:rsidP="00D46650">
            <w:pPr>
              <w:pStyle w:val="Tablicadanerodek"/>
            </w:pPr>
            <w:r w:rsidRPr="00A51DB6">
              <w:t>182,1</w:t>
            </w:r>
          </w:p>
        </w:tc>
        <w:tc>
          <w:tcPr>
            <w:tcW w:w="1465" w:type="dxa"/>
            <w:vAlign w:val="center"/>
          </w:tcPr>
          <w:p w14:paraId="33DDD5E2" w14:textId="5E074535" w:rsidR="00D46650" w:rsidRPr="00A51DB6" w:rsidRDefault="00D46650" w:rsidP="00D46650">
            <w:pPr>
              <w:pStyle w:val="Tablicadanerodek"/>
            </w:pPr>
            <w:r w:rsidRPr="00A51DB6">
              <w:t>102,7</w:t>
            </w:r>
          </w:p>
        </w:tc>
      </w:tr>
      <w:tr w:rsidR="00D46650" w14:paraId="432861F5" w14:textId="77777777" w:rsidTr="00D46650">
        <w:trPr>
          <w:trHeight w:val="300"/>
        </w:trPr>
        <w:tc>
          <w:tcPr>
            <w:tcW w:w="3402" w:type="dxa"/>
            <w:noWrap/>
          </w:tcPr>
          <w:p w14:paraId="3301038D" w14:textId="77777777" w:rsidR="00D46650" w:rsidRPr="00A51DB6" w:rsidRDefault="00D46650" w:rsidP="00D46650">
            <w:pPr>
              <w:pStyle w:val="Tablicaboczekwcicie1"/>
              <w:ind w:left="318" w:firstLine="0"/>
              <w:rPr>
                <w:rFonts w:eastAsia="Times New Roman" w:cs="Calibri"/>
                <w:lang w:eastAsia="pl-PL"/>
              </w:rPr>
            </w:pPr>
            <w:r w:rsidRPr="00A51DB6">
              <w:rPr>
                <w:rFonts w:eastAsia="Times New Roman" w:cs="Calibri"/>
                <w:lang w:eastAsia="pl-PL"/>
              </w:rPr>
              <w:t>w tym z gazem z sieci</w:t>
            </w:r>
          </w:p>
        </w:tc>
        <w:tc>
          <w:tcPr>
            <w:tcW w:w="1465" w:type="dxa"/>
            <w:vAlign w:val="center"/>
          </w:tcPr>
          <w:p w14:paraId="48F2185B" w14:textId="0B7EEF0F" w:rsidR="00D46650" w:rsidRPr="00A51DB6" w:rsidRDefault="00D46650" w:rsidP="00D46650">
            <w:pPr>
              <w:pStyle w:val="Tablicadanerodek"/>
            </w:pPr>
            <w:r w:rsidRPr="00A51DB6">
              <w:t>43,3</w:t>
            </w:r>
          </w:p>
        </w:tc>
        <w:tc>
          <w:tcPr>
            <w:tcW w:w="1465" w:type="dxa"/>
            <w:vAlign w:val="center"/>
          </w:tcPr>
          <w:p w14:paraId="0A9D36A0" w14:textId="60FEDB62" w:rsidR="00D46650" w:rsidRPr="00A51DB6" w:rsidRDefault="00D46650" w:rsidP="00D46650">
            <w:pPr>
              <w:pStyle w:val="Tablicadanerodek"/>
            </w:pPr>
            <w:r w:rsidRPr="00A51DB6">
              <w:t>57,3</w:t>
            </w:r>
          </w:p>
        </w:tc>
        <w:tc>
          <w:tcPr>
            <w:tcW w:w="1465" w:type="dxa"/>
            <w:vAlign w:val="center"/>
          </w:tcPr>
          <w:p w14:paraId="4C454A40" w14:textId="57F6E7EE" w:rsidR="00D46650" w:rsidRPr="00A51DB6" w:rsidRDefault="00D46650" w:rsidP="00D46650">
            <w:pPr>
              <w:pStyle w:val="Tablicadanerodek"/>
            </w:pPr>
            <w:r w:rsidRPr="00A51DB6">
              <w:t>132,4</w:t>
            </w:r>
          </w:p>
        </w:tc>
      </w:tr>
      <w:tr w:rsidR="00D46650" w14:paraId="23A638E4" w14:textId="77777777" w:rsidTr="00D46650">
        <w:trPr>
          <w:trHeight w:val="300"/>
        </w:trPr>
        <w:tc>
          <w:tcPr>
            <w:tcW w:w="3402" w:type="dxa"/>
            <w:noWrap/>
          </w:tcPr>
          <w:p w14:paraId="7F42D8C7" w14:textId="77777777" w:rsidR="00D46650" w:rsidRPr="00A51DB6" w:rsidRDefault="00D46650" w:rsidP="00D46650">
            <w:pPr>
              <w:pStyle w:val="Tablicaboczekwcicie1"/>
              <w:ind w:left="227" w:firstLine="0"/>
              <w:rPr>
                <w:rFonts w:eastAsia="Times New Roman" w:cs="Calibri"/>
                <w:lang w:eastAsia="pl-PL"/>
              </w:rPr>
            </w:pPr>
            <w:r w:rsidRPr="00A51DB6">
              <w:rPr>
                <w:rFonts w:eastAsia="Times New Roman" w:cs="Calibri"/>
                <w:lang w:eastAsia="pl-PL"/>
              </w:rPr>
              <w:t>wodociąg, kanalizację bez c.o.</w:t>
            </w:r>
            <w:r w:rsidRPr="00A51DB6">
              <w:rPr>
                <w:rFonts w:eastAsia="Times New Roman" w:cs="Calibri"/>
                <w:vertAlign w:val="superscript"/>
                <w:lang w:eastAsia="pl-PL"/>
              </w:rPr>
              <w:t>a</w:t>
            </w:r>
          </w:p>
        </w:tc>
        <w:tc>
          <w:tcPr>
            <w:tcW w:w="1465" w:type="dxa"/>
            <w:vAlign w:val="center"/>
          </w:tcPr>
          <w:p w14:paraId="42835642" w14:textId="0A822E99" w:rsidR="00D46650" w:rsidRPr="00A51DB6" w:rsidRDefault="00D46650" w:rsidP="00D46650">
            <w:pPr>
              <w:pStyle w:val="Tablicadanerodek"/>
            </w:pPr>
            <w:r w:rsidRPr="00A51DB6">
              <w:t>39,6</w:t>
            </w:r>
          </w:p>
        </w:tc>
        <w:tc>
          <w:tcPr>
            <w:tcW w:w="1465" w:type="dxa"/>
            <w:vAlign w:val="center"/>
          </w:tcPr>
          <w:p w14:paraId="43910781" w14:textId="2C3338E3" w:rsidR="00D46650" w:rsidRPr="00A51DB6" w:rsidRDefault="00D46650" w:rsidP="00D46650">
            <w:pPr>
              <w:pStyle w:val="Tablicadanerodek"/>
            </w:pPr>
            <w:r w:rsidRPr="00A51DB6">
              <w:t>49,4</w:t>
            </w:r>
          </w:p>
        </w:tc>
        <w:tc>
          <w:tcPr>
            <w:tcW w:w="1465" w:type="dxa"/>
            <w:vAlign w:val="center"/>
          </w:tcPr>
          <w:p w14:paraId="2DD9BE6D" w14:textId="362C81F5" w:rsidR="00D46650" w:rsidRPr="00A51DB6" w:rsidRDefault="00D46650" w:rsidP="00D46650">
            <w:pPr>
              <w:pStyle w:val="Tablicadanerodek"/>
            </w:pPr>
            <w:r w:rsidRPr="00A51DB6">
              <w:t>124,7</w:t>
            </w:r>
          </w:p>
        </w:tc>
      </w:tr>
      <w:tr w:rsidR="00D46650" w14:paraId="6ABEF8CA" w14:textId="77777777" w:rsidTr="00D46650">
        <w:trPr>
          <w:trHeight w:val="300"/>
        </w:trPr>
        <w:tc>
          <w:tcPr>
            <w:tcW w:w="3402" w:type="dxa"/>
            <w:noWrap/>
          </w:tcPr>
          <w:p w14:paraId="3AE156E6" w14:textId="77777777" w:rsidR="00D46650" w:rsidRPr="00A51DB6" w:rsidRDefault="00D46650" w:rsidP="00D46650">
            <w:pPr>
              <w:pStyle w:val="Tablicaboczekwcicie1"/>
              <w:ind w:left="227" w:firstLine="0"/>
            </w:pPr>
            <w:r w:rsidRPr="00A51DB6">
              <w:t>wodociąg</w:t>
            </w:r>
          </w:p>
        </w:tc>
        <w:tc>
          <w:tcPr>
            <w:tcW w:w="1465" w:type="dxa"/>
            <w:vAlign w:val="center"/>
          </w:tcPr>
          <w:p w14:paraId="71CF87C0" w14:textId="79F98B1A" w:rsidR="00D46650" w:rsidRPr="00A51DB6" w:rsidRDefault="00D46650" w:rsidP="00D46650">
            <w:pPr>
              <w:pStyle w:val="Tablicadanerodek"/>
            </w:pPr>
            <w:r w:rsidRPr="00A51DB6">
              <w:t>243,8</w:t>
            </w:r>
          </w:p>
        </w:tc>
        <w:tc>
          <w:tcPr>
            <w:tcW w:w="1465" w:type="dxa"/>
            <w:vAlign w:val="center"/>
          </w:tcPr>
          <w:p w14:paraId="4197B48E" w14:textId="441A20B9" w:rsidR="00D46650" w:rsidRPr="00A51DB6" w:rsidRDefault="00D46650" w:rsidP="00D46650">
            <w:pPr>
              <w:pStyle w:val="Tablicadanerodek"/>
            </w:pPr>
            <w:r w:rsidRPr="00A51DB6">
              <w:t>255,5</w:t>
            </w:r>
          </w:p>
        </w:tc>
        <w:tc>
          <w:tcPr>
            <w:tcW w:w="1465" w:type="dxa"/>
            <w:vAlign w:val="center"/>
          </w:tcPr>
          <w:p w14:paraId="73F68353" w14:textId="64826E71" w:rsidR="00D46650" w:rsidRPr="00A51DB6" w:rsidRDefault="00D46650" w:rsidP="00D46650">
            <w:pPr>
              <w:pStyle w:val="Tablicadanerodek"/>
            </w:pPr>
            <w:r w:rsidRPr="00A51DB6">
              <w:t>104,8</w:t>
            </w:r>
          </w:p>
        </w:tc>
      </w:tr>
      <w:tr w:rsidR="00D46650" w14:paraId="3D5887A7" w14:textId="77777777" w:rsidTr="00D46650">
        <w:trPr>
          <w:trHeight w:val="300"/>
        </w:trPr>
        <w:tc>
          <w:tcPr>
            <w:tcW w:w="3402" w:type="dxa"/>
            <w:noWrap/>
          </w:tcPr>
          <w:p w14:paraId="3B5B5D23" w14:textId="77777777" w:rsidR="00D46650" w:rsidRPr="00A51DB6" w:rsidRDefault="00D46650" w:rsidP="00D46650">
            <w:pPr>
              <w:pStyle w:val="Tablicaboczekwcicie2"/>
              <w:ind w:left="227"/>
            </w:pPr>
            <w:r w:rsidRPr="00A51DB6">
              <w:t>kanalizację</w:t>
            </w:r>
          </w:p>
        </w:tc>
        <w:tc>
          <w:tcPr>
            <w:tcW w:w="1465" w:type="dxa"/>
            <w:vAlign w:val="center"/>
          </w:tcPr>
          <w:p w14:paraId="3B10E168" w14:textId="4F4162C8" w:rsidR="00D46650" w:rsidRPr="00A51DB6" w:rsidRDefault="00D46650" w:rsidP="00D46650">
            <w:pPr>
              <w:pStyle w:val="Tablicadanerodek"/>
            </w:pPr>
            <w:r w:rsidRPr="00A51DB6">
              <w:t>217,4</w:t>
            </w:r>
          </w:p>
        </w:tc>
        <w:tc>
          <w:tcPr>
            <w:tcW w:w="1465" w:type="dxa"/>
            <w:vAlign w:val="center"/>
          </w:tcPr>
          <w:p w14:paraId="11A41685" w14:textId="39664541" w:rsidR="00D46650" w:rsidRPr="00A51DB6" w:rsidRDefault="00D46650" w:rsidP="00D46650">
            <w:pPr>
              <w:pStyle w:val="Tablicadanerodek"/>
            </w:pPr>
            <w:r w:rsidRPr="00A51DB6">
              <w:t>231,6</w:t>
            </w:r>
          </w:p>
        </w:tc>
        <w:tc>
          <w:tcPr>
            <w:tcW w:w="1465" w:type="dxa"/>
            <w:vAlign w:val="center"/>
          </w:tcPr>
          <w:p w14:paraId="5F00A795" w14:textId="7AD3C81A" w:rsidR="00D46650" w:rsidRPr="00A51DB6" w:rsidRDefault="00D46650" w:rsidP="00D46650">
            <w:pPr>
              <w:pStyle w:val="Tablicadanerodek"/>
            </w:pPr>
            <w:r w:rsidRPr="00A51DB6">
              <w:t>106,5</w:t>
            </w:r>
          </w:p>
        </w:tc>
      </w:tr>
      <w:tr w:rsidR="00D46650" w14:paraId="55F6AEBC" w14:textId="77777777" w:rsidTr="00D46650">
        <w:trPr>
          <w:trHeight w:val="300"/>
        </w:trPr>
        <w:tc>
          <w:tcPr>
            <w:tcW w:w="3402" w:type="dxa"/>
            <w:noWrap/>
          </w:tcPr>
          <w:p w14:paraId="0858EECF" w14:textId="77777777" w:rsidR="00D46650" w:rsidRPr="00A51DB6" w:rsidRDefault="00D46650" w:rsidP="00D46650">
            <w:pPr>
              <w:pStyle w:val="Tablicaboczekwcicie2"/>
              <w:ind w:left="227"/>
            </w:pPr>
            <w:r w:rsidRPr="00A51DB6">
              <w:t>c.o.</w:t>
            </w:r>
            <w:r w:rsidRPr="00A51DB6">
              <w:rPr>
                <w:vertAlign w:val="superscript"/>
              </w:rPr>
              <w:t>a</w:t>
            </w:r>
          </w:p>
        </w:tc>
        <w:tc>
          <w:tcPr>
            <w:tcW w:w="1465" w:type="dxa"/>
            <w:vAlign w:val="center"/>
          </w:tcPr>
          <w:p w14:paraId="56CE2635" w14:textId="40842C7C" w:rsidR="00D46650" w:rsidRPr="00A51DB6" w:rsidRDefault="00D46650" w:rsidP="00D46650">
            <w:pPr>
              <w:pStyle w:val="Tablicadanerodek"/>
            </w:pPr>
            <w:r w:rsidRPr="00A51DB6">
              <w:t>182,7</w:t>
            </w:r>
          </w:p>
        </w:tc>
        <w:tc>
          <w:tcPr>
            <w:tcW w:w="1465" w:type="dxa"/>
            <w:vAlign w:val="center"/>
          </w:tcPr>
          <w:p w14:paraId="3D9CA322" w14:textId="237BA59B" w:rsidR="00D46650" w:rsidRPr="00A51DB6" w:rsidRDefault="00D46650" w:rsidP="00D46650">
            <w:pPr>
              <w:pStyle w:val="Tablicadanerodek"/>
            </w:pPr>
            <w:r w:rsidRPr="00A51DB6">
              <w:t>202,7</w:t>
            </w:r>
          </w:p>
        </w:tc>
        <w:tc>
          <w:tcPr>
            <w:tcW w:w="1465" w:type="dxa"/>
            <w:vAlign w:val="center"/>
          </w:tcPr>
          <w:p w14:paraId="3D2B2E10" w14:textId="29B09298" w:rsidR="00D46650" w:rsidRPr="00A51DB6" w:rsidRDefault="00D46650" w:rsidP="00D46650">
            <w:pPr>
              <w:pStyle w:val="Tablicadanerodek"/>
            </w:pPr>
            <w:r w:rsidRPr="00A51DB6">
              <w:t>111,0</w:t>
            </w:r>
          </w:p>
        </w:tc>
      </w:tr>
      <w:tr w:rsidR="00D46650" w14:paraId="20A42023" w14:textId="77777777" w:rsidTr="00D46650">
        <w:trPr>
          <w:trHeight w:val="300"/>
        </w:trPr>
        <w:tc>
          <w:tcPr>
            <w:tcW w:w="3402" w:type="dxa"/>
            <w:noWrap/>
          </w:tcPr>
          <w:p w14:paraId="739A55AF" w14:textId="77777777" w:rsidR="00D46650" w:rsidRPr="00A51DB6" w:rsidRDefault="00D46650" w:rsidP="00D46650">
            <w:pPr>
              <w:pStyle w:val="Tablicaboczekwcicie2"/>
              <w:ind w:left="227"/>
            </w:pPr>
            <w:r w:rsidRPr="00A51DB6">
              <w:t>gaz z sieci</w:t>
            </w:r>
          </w:p>
        </w:tc>
        <w:tc>
          <w:tcPr>
            <w:tcW w:w="1465" w:type="dxa"/>
            <w:vAlign w:val="center"/>
          </w:tcPr>
          <w:p w14:paraId="02D6104A" w14:textId="376A40B5" w:rsidR="00D46650" w:rsidRPr="00A51DB6" w:rsidRDefault="00D46650" w:rsidP="00D46650">
            <w:pPr>
              <w:pStyle w:val="Tablicadanerodek"/>
            </w:pPr>
            <w:r w:rsidRPr="00A51DB6">
              <w:t>48,0</w:t>
            </w:r>
          </w:p>
        </w:tc>
        <w:tc>
          <w:tcPr>
            <w:tcW w:w="1465" w:type="dxa"/>
            <w:vAlign w:val="center"/>
          </w:tcPr>
          <w:p w14:paraId="693BA825" w14:textId="598D00BA" w:rsidR="00D46650" w:rsidRPr="00A51DB6" w:rsidRDefault="00D46650" w:rsidP="00D46650">
            <w:pPr>
              <w:pStyle w:val="Tablicadanerodek"/>
            </w:pPr>
            <w:r w:rsidRPr="00A51DB6">
              <w:t>73,0</w:t>
            </w:r>
          </w:p>
        </w:tc>
        <w:tc>
          <w:tcPr>
            <w:tcW w:w="1465" w:type="dxa"/>
            <w:vAlign w:val="center"/>
          </w:tcPr>
          <w:p w14:paraId="30AE754D" w14:textId="75F4A283" w:rsidR="00D46650" w:rsidRPr="00A51DB6" w:rsidRDefault="00D46650" w:rsidP="00D46650">
            <w:pPr>
              <w:pStyle w:val="Tablicadanerodek"/>
            </w:pPr>
            <w:r w:rsidRPr="00A51DB6">
              <w:t>152,2</w:t>
            </w:r>
          </w:p>
        </w:tc>
      </w:tr>
    </w:tbl>
    <w:p w14:paraId="5371B136" w14:textId="77777777" w:rsidR="0038631B" w:rsidRDefault="0038631B" w:rsidP="005F26D8">
      <w:r w:rsidRPr="00C71899">
        <w:rPr>
          <w:rStyle w:val="PrzypisZnak"/>
          <w:sz w:val="16"/>
          <w:szCs w:val="16"/>
          <w:lang w:val="pl-PL"/>
        </w:rPr>
        <w:t xml:space="preserve">a </w:t>
      </w:r>
      <w:r w:rsidRPr="00A441DD">
        <w:rPr>
          <w:rStyle w:val="PrzypisZnak"/>
          <w:sz w:val="16"/>
          <w:szCs w:val="16"/>
          <w:lang w:val="pl-PL"/>
        </w:rPr>
        <w:t xml:space="preserve">Dotyczy </w:t>
      </w:r>
      <w:r>
        <w:rPr>
          <w:rStyle w:val="PrzypisZnak"/>
          <w:sz w:val="16"/>
          <w:szCs w:val="16"/>
          <w:lang w:val="pl-PL"/>
        </w:rPr>
        <w:t>budynków</w:t>
      </w:r>
      <w:r w:rsidRPr="00A441DD">
        <w:rPr>
          <w:rStyle w:val="PrzypisZnak"/>
          <w:sz w:val="16"/>
          <w:szCs w:val="16"/>
          <w:lang w:val="pl-PL"/>
        </w:rPr>
        <w:t xml:space="preserve"> wyposażonych w centralne ogrzewanie z sieci, </w:t>
      </w:r>
      <w:r>
        <w:rPr>
          <w:rStyle w:val="PrzypisZnak"/>
          <w:sz w:val="16"/>
          <w:szCs w:val="16"/>
          <w:lang w:val="pl-PL"/>
        </w:rPr>
        <w:t xml:space="preserve">ogrzewanie </w:t>
      </w:r>
      <w:r w:rsidRPr="00A441DD">
        <w:rPr>
          <w:rStyle w:val="PrzypisZnak"/>
          <w:sz w:val="16"/>
          <w:szCs w:val="16"/>
          <w:lang w:val="pl-PL"/>
        </w:rPr>
        <w:t>zbiorowe ze źródła ciepła zasilającego jeden budynek wielomieszkaniowy, centralne ogrzewanie indywidualne i ogrzewanie nieokreślonego typu</w:t>
      </w:r>
      <w:r>
        <w:rPr>
          <w:rStyle w:val="PrzypisZnak"/>
          <w:sz w:val="16"/>
          <w:szCs w:val="16"/>
          <w:lang w:val="pl-PL"/>
        </w:rPr>
        <w:t>.</w:t>
      </w:r>
    </w:p>
    <w:p w14:paraId="395CBD87" w14:textId="77777777" w:rsidR="00694AF0" w:rsidRDefault="00694AF0" w:rsidP="00E76D26">
      <w:pPr>
        <w:rPr>
          <w:sz w:val="18"/>
        </w:rPr>
      </w:pPr>
    </w:p>
    <w:p w14:paraId="35DFB232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 Urząd Statystyczny w Kielcach &#10;p.o. Dyrektor Ewa Tomczyk, telefon 41 249 96 02, &#10;rozpowszechnianie Informatorium Statystyczne, tel: 41 249 96 23.&#10;&#10;"/>
      </w:tblPr>
      <w:tblGrid>
        <w:gridCol w:w="4926"/>
        <w:gridCol w:w="4927"/>
      </w:tblGrid>
      <w:tr w:rsidR="00C84525" w14:paraId="3465F660" w14:textId="77777777" w:rsidTr="002937D6">
        <w:trPr>
          <w:trHeight w:val="1626"/>
        </w:trPr>
        <w:tc>
          <w:tcPr>
            <w:tcW w:w="9853" w:type="dxa"/>
            <w:gridSpan w:val="2"/>
          </w:tcPr>
          <w:p w14:paraId="61C3ECF2" w14:textId="77777777" w:rsidR="00C84525" w:rsidRPr="004A1D19" w:rsidRDefault="00C84525" w:rsidP="00C84525">
            <w:pPr>
              <w:spacing w:line="288" w:lineRule="auto"/>
              <w:rPr>
                <w:rFonts w:cs="Arial"/>
                <w:sz w:val="20"/>
              </w:rPr>
            </w:pPr>
            <w:r>
              <w:lastRenderedPageBreak/>
      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      </w:r>
          </w:p>
        </w:tc>
      </w:tr>
      <w:tr w:rsidR="00DE2400" w14:paraId="2959F83F" w14:textId="77777777" w:rsidTr="00BA2BA7">
        <w:trPr>
          <w:trHeight w:val="1626"/>
        </w:trPr>
        <w:tc>
          <w:tcPr>
            <w:tcW w:w="4926" w:type="dxa"/>
          </w:tcPr>
          <w:p w14:paraId="46A9A162" w14:textId="77777777" w:rsidR="00F31FC1" w:rsidRPr="004A1D19" w:rsidRDefault="00F31FC1" w:rsidP="00F31FC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74A104A4" w14:textId="77777777" w:rsidR="00F31FC1" w:rsidRPr="00F87375" w:rsidRDefault="00F31FC1" w:rsidP="00F31FC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 xml:space="preserve">Urząd Statystyczny w Kielcach </w:t>
            </w:r>
          </w:p>
          <w:p w14:paraId="603BF1D3" w14:textId="77777777" w:rsidR="00F31FC1" w:rsidRDefault="00F31FC1" w:rsidP="00F31FC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76B91B5E" w14:textId="77777777" w:rsidR="00DE2400" w:rsidRPr="00AB24E4" w:rsidRDefault="00DE2400" w:rsidP="00935D1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365BDEAF" w14:textId="77777777" w:rsidR="00F31FC1" w:rsidRPr="00F87375" w:rsidRDefault="00F31FC1" w:rsidP="00F31FC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7D7AAB06" w14:textId="77777777" w:rsidR="00F31FC1" w:rsidRPr="00F87375" w:rsidRDefault="00F31FC1" w:rsidP="00F31FC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66000202" w14:textId="77777777" w:rsidR="00DE2400" w:rsidRDefault="00DE2400" w:rsidP="002937D6">
            <w:pPr>
              <w:rPr>
                <w:sz w:val="18"/>
              </w:rPr>
            </w:pPr>
          </w:p>
        </w:tc>
      </w:tr>
    </w:tbl>
    <w:p w14:paraId="7B95437A" w14:textId="77777777" w:rsidR="00C84525" w:rsidRDefault="00C84525"/>
    <w:tbl>
      <w:tblPr>
        <w:tblpPr w:leftFromText="141" w:rightFromText="141" w:vertAnchor="text" w:horzAnchor="margin" w:tblpY="31"/>
        <w:tblW w:w="6268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twitterze @Kielce.STAT oraz na facebooku @UrzadStatystycznyKielce"/>
      </w:tblPr>
      <w:tblGrid>
        <w:gridCol w:w="162"/>
        <w:gridCol w:w="2728"/>
        <w:gridCol w:w="435"/>
        <w:gridCol w:w="2021"/>
        <w:gridCol w:w="435"/>
        <w:gridCol w:w="4332"/>
      </w:tblGrid>
      <w:tr w:rsidR="00C84525" w14:paraId="418642A3" w14:textId="77777777" w:rsidTr="00C84525">
        <w:trPr>
          <w:trHeight w:val="567"/>
        </w:trPr>
        <w:tc>
          <w:tcPr>
            <w:tcW w:w="80" w:type="pct"/>
            <w:vAlign w:val="center"/>
          </w:tcPr>
          <w:p w14:paraId="284AA12C" w14:textId="77777777" w:rsidR="00C84525" w:rsidRPr="000F74FB" w:rsidRDefault="00C84525" w:rsidP="00C84525">
            <w:pPr>
              <w:rPr>
                <w:sz w:val="18"/>
              </w:rPr>
            </w:pPr>
          </w:p>
        </w:tc>
        <w:tc>
          <w:tcPr>
            <w:tcW w:w="1349" w:type="pct"/>
            <w:vAlign w:val="center"/>
          </w:tcPr>
          <w:p w14:paraId="5215E695" w14:textId="77777777" w:rsidR="00C84525" w:rsidRDefault="00C84525" w:rsidP="00C84525">
            <w:pPr>
              <w:rPr>
                <w:sz w:val="18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828224" behindDoc="0" locked="0" layoutInCell="1" allowOverlap="1" wp14:anchorId="76681AEB" wp14:editId="12DDB2CB">
                  <wp:simplePos x="0" y="0"/>
                  <wp:positionH relativeFrom="column">
                    <wp:posOffset>-123190</wp:posOffset>
                  </wp:positionH>
                  <wp:positionV relativeFrom="paragraph">
                    <wp:posOffset>35560</wp:posOffset>
                  </wp:positionV>
                  <wp:extent cx="256540" cy="251460"/>
                  <wp:effectExtent l="0" t="0" r="0" b="0"/>
                  <wp:wrapNone/>
                  <wp:docPr id="3" name="Obraz 3" descr="www.kielce.stat.gov.pl" title="Ikonka strony www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www.kielce.stat.gov.pl</w:t>
            </w:r>
          </w:p>
        </w:tc>
        <w:tc>
          <w:tcPr>
            <w:tcW w:w="215" w:type="pct"/>
            <w:vAlign w:val="center"/>
          </w:tcPr>
          <w:p w14:paraId="2D3BB48D" w14:textId="77777777" w:rsidR="00C84525" w:rsidRDefault="00C84525" w:rsidP="00C84525">
            <w:pPr>
              <w:spacing w:before="0" w:after="160" w:line="259" w:lineRule="auto"/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829248" behindDoc="0" locked="0" layoutInCell="1" allowOverlap="1" wp14:anchorId="5E20CE51" wp14:editId="2B97D896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4" name="Obraz 4" descr="@Kielce_STAT" title="Ikonka twitter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9" w:type="pct"/>
            <w:vAlign w:val="bottom"/>
          </w:tcPr>
          <w:p w14:paraId="668A5791" w14:textId="77777777" w:rsidR="00C84525" w:rsidRDefault="00C84525" w:rsidP="00C84525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15" w:type="pct"/>
            <w:vAlign w:val="center"/>
          </w:tcPr>
          <w:p w14:paraId="644E476A" w14:textId="77777777" w:rsidR="00C84525" w:rsidRDefault="00C84525" w:rsidP="00C84525">
            <w:pPr>
              <w:spacing w:before="0" w:after="160" w:line="259" w:lineRule="auto"/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830272" behindDoc="0" locked="0" layoutInCell="1" allowOverlap="1" wp14:anchorId="7B5CC031" wp14:editId="3045FF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2" w:type="pct"/>
            <w:vAlign w:val="bottom"/>
          </w:tcPr>
          <w:p w14:paraId="2A16A35F" w14:textId="77777777" w:rsidR="00C84525" w:rsidRDefault="00C84525" w:rsidP="00C84525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56B739DC" w14:textId="77777777" w:rsidR="00C84525" w:rsidRDefault="00C84525"/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Linki do powiązanych opracowań i baz danych."/>
      </w:tblPr>
      <w:tblGrid>
        <w:gridCol w:w="9853"/>
      </w:tblGrid>
      <w:tr w:rsidR="004608F8" w14:paraId="78C5FFAE" w14:textId="77777777" w:rsidTr="00BA2BA7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14:paraId="64283534" w14:textId="77777777" w:rsidR="004608F8" w:rsidRPr="00876479" w:rsidRDefault="004608F8" w:rsidP="004608F8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58DF157" w14:textId="77777777" w:rsidR="004608F8" w:rsidRPr="00C52A00" w:rsidRDefault="004608F8" w:rsidP="004608F8">
            <w:pPr>
              <w:rPr>
                <w:rStyle w:val="Hipercze"/>
                <w:color w:val="001D77"/>
              </w:rPr>
            </w:pPr>
            <w:r w:rsidRPr="00C52A00">
              <w:rPr>
                <w:rFonts w:cs="Times New Roman"/>
                <w:color w:val="001D77"/>
              </w:rPr>
              <w:fldChar w:fldCharType="begin"/>
            </w:r>
            <w:r>
              <w:rPr>
                <w:rFonts w:cs="Times New Roman"/>
                <w:color w:val="001D77"/>
              </w:rPr>
              <w:instrText>HYPERLINK "https://stat.gov.pl/spisy-powszechne/nsp-2021/nsp-2021-wyniki-wstepne/informacja-o-wstepnych-wynikach-narodowego-spisu-powszechnego-ludnosci-i-mieszkan-2021,1,1.html" \o "Link do opracowania pt. Informacja o wstępnych wynikach Narodowego Spisu Powszechnego Ludności i Mieszkań 2021"</w:instrText>
            </w:r>
            <w:r w:rsidRPr="00C52A00">
              <w:rPr>
                <w:rFonts w:cs="Times New Roman"/>
                <w:color w:val="001D77"/>
              </w:rPr>
              <w:fldChar w:fldCharType="separate"/>
            </w:r>
            <w:r w:rsidRPr="00C52A00">
              <w:rPr>
                <w:rStyle w:val="Hipercze"/>
                <w:color w:val="001D77"/>
              </w:rPr>
              <w:t>Informacja o wstępnych wynikach Narodowego Spisu Powszechnego Ludności i Mieszkań 2021</w:t>
            </w:r>
          </w:p>
          <w:p w14:paraId="6170948F" w14:textId="77777777" w:rsidR="004608F8" w:rsidRPr="00C52A00" w:rsidRDefault="004608F8" w:rsidP="004608F8">
            <w:pPr>
              <w:rPr>
                <w:rStyle w:val="Hipercze"/>
                <w:color w:val="001D77"/>
              </w:rPr>
            </w:pPr>
            <w:r w:rsidRPr="00C52A00">
              <w:rPr>
                <w:rFonts w:cs="Times New Roman"/>
                <w:color w:val="001D77"/>
              </w:rPr>
              <w:fldChar w:fldCharType="end"/>
            </w:r>
            <w:r w:rsidRPr="00C52A00">
              <w:rPr>
                <w:rFonts w:cs="Times New Roman"/>
                <w:color w:val="001D77"/>
              </w:rPr>
              <w:fldChar w:fldCharType="begin"/>
            </w:r>
            <w:r>
              <w:rPr>
                <w:rFonts w:cs="Times New Roman"/>
                <w:color w:val="001D77"/>
              </w:rPr>
              <w:instrText>HYPERLINK "https://stat.gov.pl/spisy-powszechne/nsp-2021/nsp-2021-wyniki-wstepne/narodowy-spis-powszechny-ludnosci-i-mieszkan-2021-metodologia-i-organizacja-badania-,5,2.html" \o "Linko do opracowania pt. Narodowy Spis Powszechny Ludności i Mieszkań 2021. Metodologia i organizacja badania"</w:instrText>
            </w:r>
            <w:r w:rsidRPr="00C52A00">
              <w:rPr>
                <w:rFonts w:cs="Times New Roman"/>
                <w:color w:val="001D77"/>
              </w:rPr>
              <w:fldChar w:fldCharType="separate"/>
            </w:r>
            <w:r w:rsidRPr="00C52A00">
              <w:rPr>
                <w:rStyle w:val="Hipercze"/>
                <w:color w:val="001D77"/>
              </w:rPr>
              <w:t>Narodowy Spis Powszechny Ludności i Mieszkań 2021. Metodologia i organizacja badania</w:t>
            </w:r>
          </w:p>
          <w:p w14:paraId="370018D4" w14:textId="77777777" w:rsidR="004608F8" w:rsidRPr="004626AC" w:rsidRDefault="004608F8" w:rsidP="004608F8">
            <w:pPr>
              <w:rPr>
                <w:rFonts w:cs="Times New Roman"/>
                <w:color w:val="001D77"/>
              </w:rPr>
            </w:pPr>
            <w:r w:rsidRPr="00C52A00">
              <w:rPr>
                <w:rFonts w:cs="Times New Roman"/>
                <w:color w:val="001D77"/>
              </w:rPr>
              <w:fldChar w:fldCharType="end"/>
            </w:r>
            <w:hyperlink r:id="rId27" w:tooltip="Link do opracowania pt. NSP 2021. Wyniki wstępne – informacja sygnalna" w:history="1">
              <w:r w:rsidRPr="004626AC">
                <w:rPr>
                  <w:rStyle w:val="Hipercze"/>
                  <w:color w:val="001D77"/>
                </w:rPr>
                <w:t>NSP 2021. Wyniki wstępne – informacja sygnalna</w:t>
              </w:r>
            </w:hyperlink>
          </w:p>
          <w:p w14:paraId="19C53F8E" w14:textId="77777777" w:rsidR="004608F8" w:rsidRPr="004626AC" w:rsidRDefault="004608F8" w:rsidP="004608F8">
            <w:pPr>
              <w:rPr>
                <w:rStyle w:val="Hipercze"/>
                <w:color w:val="001D77"/>
              </w:rPr>
            </w:pPr>
            <w:r w:rsidRPr="004626AC">
              <w:rPr>
                <w:rFonts w:cs="Times New Roman"/>
                <w:color w:val="001D77"/>
              </w:rPr>
              <w:fldChar w:fldCharType="begin"/>
            </w:r>
            <w:r>
              <w:rPr>
                <w:rFonts w:cs="Times New Roman"/>
                <w:color w:val="001D77"/>
              </w:rPr>
              <w:instrText>HYPERLINK "https://stat.gov.pl/" \o "Linko do opracowania pt. Raport zawierający wstępne wyniki NSP 2021"</w:instrText>
            </w:r>
            <w:r w:rsidRPr="004626AC">
              <w:rPr>
                <w:rFonts w:cs="Times New Roman"/>
                <w:color w:val="001D77"/>
              </w:rPr>
              <w:fldChar w:fldCharType="separate"/>
            </w:r>
            <w:r w:rsidRPr="004626AC">
              <w:rPr>
                <w:rStyle w:val="Hipercze"/>
                <w:color w:val="001D77"/>
              </w:rPr>
              <w:t>Raport zawierający wstępne wyniki NSP 2021</w:t>
            </w:r>
          </w:p>
          <w:p w14:paraId="3F23E973" w14:textId="77777777" w:rsidR="004608F8" w:rsidRPr="00694D63" w:rsidRDefault="004608F8" w:rsidP="004608F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4626AC">
              <w:rPr>
                <w:rFonts w:cs="Times New Roman"/>
                <w:color w:val="001D77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FBFC9D3" w14:textId="2A54D06B" w:rsidR="004608F8" w:rsidRPr="00CF18EE" w:rsidRDefault="004608F8" w:rsidP="004608F8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 do danych w bazie..." </w:instrText>
            </w:r>
            <w:r>
              <w:rPr>
                <w:rFonts w:cs="Times New Roman"/>
              </w:rPr>
              <w:fldChar w:fldCharType="separate"/>
            </w:r>
            <w:hyperlink r:id="rId28" w:history="1">
              <w:r w:rsidRPr="006E1E34">
                <w:rPr>
                  <w:color w:val="0000FF"/>
                  <w:u w:val="single"/>
                </w:rPr>
                <w:t>GUS - Bank Danych Lokalnych (stat.gov.pl)</w:t>
              </w:r>
            </w:hyperlink>
            <w:r>
              <w:t xml:space="preserve"> – obszar tematyczny: Narodowe Spisy Powszechne</w:t>
            </w:r>
          </w:p>
          <w:p w14:paraId="5BAE96D1" w14:textId="77777777" w:rsidR="004608F8" w:rsidRPr="00694D63" w:rsidRDefault="004608F8" w:rsidP="004608F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3DCB0BB" w14:textId="77777777" w:rsidR="004608F8" w:rsidRPr="004626AC" w:rsidRDefault="004323F4" w:rsidP="004608F8">
            <w:pPr>
              <w:rPr>
                <w:rStyle w:val="Hipercze"/>
                <w:color w:val="001D77"/>
              </w:rPr>
            </w:pPr>
            <w:hyperlink r:id="rId29" w:tooltip="Link do słownika pojęć - Mieszkanie" w:history="1">
              <w:r w:rsidR="004608F8" w:rsidRPr="004626AC">
                <w:rPr>
                  <w:rStyle w:val="Hipercze"/>
                  <w:color w:val="001D77"/>
                </w:rPr>
                <w:t>Mieszkanie</w:t>
              </w:r>
            </w:hyperlink>
          </w:p>
          <w:p w14:paraId="5474E9D9" w14:textId="77777777" w:rsidR="004608F8" w:rsidRPr="004626AC" w:rsidRDefault="004323F4" w:rsidP="004608F8">
            <w:pPr>
              <w:rPr>
                <w:rStyle w:val="Hipercze"/>
                <w:color w:val="001D77"/>
              </w:rPr>
            </w:pPr>
            <w:hyperlink r:id="rId30" w:tooltip="Link do słownika pojęć - Mieszkanie wyposażone w instalacje sanitarno-techniczne" w:history="1">
              <w:r w:rsidR="004608F8" w:rsidRPr="004626AC">
                <w:rPr>
                  <w:rStyle w:val="Hipercze"/>
                  <w:color w:val="001D77"/>
                </w:rPr>
                <w:t>Mieszkanie wyposażone w instalacje sanitarno-techniczne</w:t>
              </w:r>
            </w:hyperlink>
          </w:p>
          <w:p w14:paraId="243C0399" w14:textId="77777777" w:rsidR="004608F8" w:rsidRPr="004626AC" w:rsidRDefault="004323F4" w:rsidP="004608F8">
            <w:pPr>
              <w:rPr>
                <w:rStyle w:val="Hipercze"/>
                <w:color w:val="001D77"/>
              </w:rPr>
            </w:pPr>
            <w:hyperlink r:id="rId31" w:tooltip="Link do słownika pojęć - Mieszkanie wyposażone w wodociąg" w:history="1">
              <w:r w:rsidR="004608F8" w:rsidRPr="004626AC">
                <w:rPr>
                  <w:rStyle w:val="Hipercze"/>
                  <w:color w:val="001D77"/>
                </w:rPr>
                <w:t>Mieszkanie wyposażone w wodociąg</w:t>
              </w:r>
            </w:hyperlink>
          </w:p>
          <w:p w14:paraId="2D62CF49" w14:textId="77777777" w:rsidR="004608F8" w:rsidRPr="004626AC" w:rsidRDefault="004323F4" w:rsidP="004608F8">
            <w:pPr>
              <w:rPr>
                <w:rStyle w:val="Hipercze"/>
                <w:color w:val="001D77"/>
              </w:rPr>
            </w:pPr>
            <w:hyperlink r:id="rId32" w:tooltip="Link do słownika pojęć - Mieszkanie wyposażone w kanalizację" w:history="1">
              <w:r w:rsidR="004608F8" w:rsidRPr="004626AC">
                <w:rPr>
                  <w:rStyle w:val="Hipercze"/>
                  <w:color w:val="001D77"/>
                </w:rPr>
                <w:t>Mieszkanie wyposażone w kanalizację</w:t>
              </w:r>
            </w:hyperlink>
          </w:p>
          <w:p w14:paraId="42B70108" w14:textId="77777777" w:rsidR="004608F8" w:rsidRPr="004626AC" w:rsidRDefault="004323F4" w:rsidP="004608F8">
            <w:pPr>
              <w:rPr>
                <w:rStyle w:val="Hipercze"/>
                <w:color w:val="001D77"/>
              </w:rPr>
            </w:pPr>
            <w:hyperlink r:id="rId33" w:tooltip="Link do słownika pojęć - Mieszkanie wyposażone w łazienkę" w:history="1">
              <w:r w:rsidR="004608F8" w:rsidRPr="004626AC">
                <w:rPr>
                  <w:rStyle w:val="Hipercze"/>
                  <w:color w:val="001D77"/>
                </w:rPr>
                <w:t>Mieszkanie wyposażone w łazienkę</w:t>
              </w:r>
            </w:hyperlink>
          </w:p>
          <w:p w14:paraId="01AF5DC3" w14:textId="77777777" w:rsidR="004608F8" w:rsidRPr="004626AC" w:rsidRDefault="004323F4" w:rsidP="004608F8">
            <w:pPr>
              <w:rPr>
                <w:rStyle w:val="Hipercze"/>
                <w:color w:val="001D77"/>
              </w:rPr>
            </w:pPr>
            <w:hyperlink r:id="rId34" w:tooltip="Link do słownika pojęć - Mieszkanie wyposażone w ustęp" w:history="1">
              <w:r w:rsidR="004608F8" w:rsidRPr="004626AC">
                <w:rPr>
                  <w:rStyle w:val="Hipercze"/>
                  <w:color w:val="001D77"/>
                </w:rPr>
                <w:t>Mieszkanie wyposażone w ustęp</w:t>
              </w:r>
            </w:hyperlink>
          </w:p>
          <w:p w14:paraId="3FACAAC0" w14:textId="77777777" w:rsidR="004608F8" w:rsidRPr="00A4651A" w:rsidRDefault="004608F8" w:rsidP="004608F8">
            <w:pPr>
              <w:rPr>
                <w:rStyle w:val="Hipercze"/>
                <w:color w:val="001D77"/>
              </w:rPr>
            </w:pPr>
            <w:r w:rsidRPr="00A4651A">
              <w:rPr>
                <w:rStyle w:val="Hipercze"/>
                <w:color w:val="001D77"/>
              </w:rPr>
              <w:fldChar w:fldCharType="begin"/>
            </w:r>
            <w:r w:rsidRPr="00A4651A">
              <w:rPr>
                <w:rStyle w:val="Hipercze"/>
                <w:color w:val="001D77"/>
              </w:rPr>
              <w:instrText xml:space="preserve"> HYPERLINK "https://stat.gov.pl/metainformacje/slownik-pojec/pojecia-stosowane-w-statystyce-publicznej/208,pojecie.html" \o "Link do słownika pojęć - Mieszkanie wyposażone w centralne ogrzewanie" </w:instrText>
            </w:r>
            <w:r w:rsidRPr="00A4651A">
              <w:rPr>
                <w:rStyle w:val="Hipercze"/>
                <w:color w:val="001D77"/>
              </w:rPr>
              <w:fldChar w:fldCharType="separate"/>
            </w:r>
            <w:r w:rsidRPr="00A4651A">
              <w:rPr>
                <w:rStyle w:val="Hipercze"/>
                <w:color w:val="001D77"/>
              </w:rPr>
              <w:t>Mieszkanie wyposażone w centralne ogrzewanie</w:t>
            </w:r>
          </w:p>
          <w:p w14:paraId="5E1F6855" w14:textId="77777777" w:rsidR="004608F8" w:rsidRPr="004626AC" w:rsidRDefault="004608F8" w:rsidP="004608F8">
            <w:pPr>
              <w:rPr>
                <w:rStyle w:val="Hipercze"/>
                <w:color w:val="001D77"/>
              </w:rPr>
            </w:pPr>
            <w:r w:rsidRPr="00A4651A">
              <w:rPr>
                <w:rStyle w:val="Hipercze"/>
                <w:color w:val="001D77"/>
              </w:rPr>
              <w:fldChar w:fldCharType="end"/>
            </w:r>
            <w:hyperlink r:id="rId35" w:tooltip="Link do słownika pojęć - Mieszkanie wyposażone w gaz z sieci" w:history="1">
              <w:r w:rsidRPr="004626AC">
                <w:rPr>
                  <w:rStyle w:val="Hipercze"/>
                  <w:color w:val="001D77"/>
                </w:rPr>
                <w:t>Mieszkanie wyposażone w gaz z sieci</w:t>
              </w:r>
            </w:hyperlink>
          </w:p>
          <w:p w14:paraId="75F27AE3" w14:textId="77777777" w:rsidR="004608F8" w:rsidRPr="004626AC" w:rsidRDefault="004323F4" w:rsidP="004608F8">
            <w:pPr>
              <w:rPr>
                <w:rStyle w:val="Hipercze"/>
                <w:color w:val="001D77"/>
              </w:rPr>
            </w:pPr>
            <w:hyperlink r:id="rId36" w:tooltip="Link do słownika pojęć - Budynek" w:history="1">
              <w:r w:rsidR="004608F8" w:rsidRPr="004626AC">
                <w:rPr>
                  <w:rStyle w:val="Hipercze"/>
                  <w:color w:val="001D77"/>
                </w:rPr>
                <w:t>Budynek</w:t>
              </w:r>
            </w:hyperlink>
          </w:p>
          <w:p w14:paraId="726159E3" w14:textId="77777777" w:rsidR="004608F8" w:rsidRPr="004626AC" w:rsidRDefault="004323F4" w:rsidP="004608F8">
            <w:pPr>
              <w:rPr>
                <w:color w:val="001D77"/>
                <w:szCs w:val="24"/>
              </w:rPr>
            </w:pPr>
            <w:hyperlink r:id="rId37" w:tooltip="Link do słownika pojęć - Budynek wyposażony w wodociąg" w:history="1">
              <w:r w:rsidR="004608F8" w:rsidRPr="004626AC">
                <w:rPr>
                  <w:rStyle w:val="Hipercze"/>
                  <w:rFonts w:cstheme="minorBidi"/>
                  <w:color w:val="001D77"/>
                  <w:szCs w:val="24"/>
                </w:rPr>
                <w:t>Budynek wyposażony w wodociąg</w:t>
              </w:r>
            </w:hyperlink>
          </w:p>
          <w:p w14:paraId="1BC24A62" w14:textId="77777777" w:rsidR="004608F8" w:rsidRPr="004626AC" w:rsidRDefault="004323F4" w:rsidP="004608F8">
            <w:pPr>
              <w:rPr>
                <w:color w:val="001D77"/>
                <w:szCs w:val="24"/>
              </w:rPr>
            </w:pPr>
            <w:hyperlink r:id="rId38" w:tooltip="Link do słownika pojęć - Budynek wyposażony w kanalizację" w:history="1">
              <w:r w:rsidR="004608F8" w:rsidRPr="004626AC">
                <w:rPr>
                  <w:rStyle w:val="Hipercze"/>
                  <w:rFonts w:cstheme="minorBidi"/>
                  <w:color w:val="001D77"/>
                  <w:szCs w:val="24"/>
                </w:rPr>
                <w:t>Budynek wyposażony w kanalizację</w:t>
              </w:r>
            </w:hyperlink>
          </w:p>
          <w:p w14:paraId="07AC6141" w14:textId="77777777" w:rsidR="004608F8" w:rsidRPr="004626AC" w:rsidRDefault="004323F4" w:rsidP="004608F8">
            <w:pPr>
              <w:rPr>
                <w:color w:val="001D77"/>
                <w:szCs w:val="24"/>
              </w:rPr>
            </w:pPr>
            <w:hyperlink r:id="rId39" w:tooltip="Link do słownika pojęć - Budynek wyposażony w centralne ogrzewanie" w:history="1">
              <w:r w:rsidR="004608F8" w:rsidRPr="004626AC">
                <w:rPr>
                  <w:rStyle w:val="Hipercze"/>
                  <w:rFonts w:cstheme="minorBidi"/>
                  <w:color w:val="001D77"/>
                  <w:szCs w:val="24"/>
                </w:rPr>
                <w:t>Budynek wyposażony w centralne ogrzewanie</w:t>
              </w:r>
            </w:hyperlink>
          </w:p>
          <w:p w14:paraId="584F6441" w14:textId="7B1BB14F" w:rsidR="004608F8" w:rsidRPr="004323F4" w:rsidRDefault="004323F4" w:rsidP="004608F8">
            <w:pPr>
              <w:rPr>
                <w:b/>
                <w:color w:val="000000" w:themeColor="text1"/>
                <w:szCs w:val="24"/>
              </w:rPr>
            </w:pPr>
            <w:hyperlink r:id="rId40" w:tooltip="Link do slownika pojęć - Budynek wyposażony w gaz z sieci" w:history="1">
              <w:r w:rsidR="004608F8" w:rsidRPr="004626AC">
                <w:rPr>
                  <w:rStyle w:val="Hipercze"/>
                  <w:rFonts w:cstheme="minorBidi"/>
                  <w:color w:val="001D77"/>
                  <w:szCs w:val="24"/>
                </w:rPr>
                <w:t>Budynek wyposażony w gaz z sieci</w:t>
              </w:r>
            </w:hyperlink>
          </w:p>
        </w:tc>
      </w:tr>
    </w:tbl>
    <w:p w14:paraId="5EEEAFE5" w14:textId="7F73F12A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89B2B" w14:textId="77777777" w:rsidR="00AD1C30" w:rsidRDefault="00AD1C30" w:rsidP="000662E2">
      <w:pPr>
        <w:spacing w:after="0" w:line="240" w:lineRule="auto"/>
      </w:pPr>
      <w:r>
        <w:separator/>
      </w:r>
    </w:p>
  </w:endnote>
  <w:endnote w:type="continuationSeparator" w:id="0">
    <w:p w14:paraId="0DAD05B6" w14:textId="77777777" w:rsidR="00AD1C30" w:rsidRDefault="00AD1C3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1" w:fontKey="{A844029F-23CB-4770-BA08-DC30928C98B0}"/>
    <w:embedBold r:id="rId2" w:fontKey="{C7AC252A-7950-40A8-B308-4E51E4DCCC29}"/>
  </w:font>
  <w:font w:name="Fira Sans Light">
    <w:panose1 w:val="020B0403050000020004"/>
    <w:charset w:val="00"/>
    <w:family w:val="swiss"/>
    <w:pitch w:val="variable"/>
    <w:sig w:usb0="600002FF" w:usb1="02000001" w:usb2="00000000" w:usb3="00000000" w:csb0="0000019F" w:csb1="00000000"/>
    <w:embedRegular r:id="rId3" w:fontKey="{1E8DDC8D-3728-4B4D-A2C4-313085C4002A}"/>
    <w:embedBold r:id="rId4" w:fontKey="{2BD160FB-9EE6-4012-AF3F-6D3681655038}"/>
  </w:font>
  <w:font w:name="Fira Sans SemiBold">
    <w:panose1 w:val="020B0603050000020004"/>
    <w:charset w:val="00"/>
    <w:family w:val="swiss"/>
    <w:pitch w:val="variable"/>
    <w:sig w:usb0="600002FF" w:usb1="02000001" w:usb2="00000000" w:usb3="00000000" w:csb0="0000019F" w:csb1="00000000"/>
    <w:embedRegular r:id="rId5" w:fontKey="{5F8095D1-87E7-4B93-98AA-9FCAB2CF4CAA}"/>
    <w:embedBold r:id="rId6" w:fontKey="{FBD34B73-F885-4E9A-A5D1-B30464CFB212}"/>
  </w:font>
  <w:font w:name="Fira Sans Medium">
    <w:panose1 w:val="020B0603050000020004"/>
    <w:charset w:val="00"/>
    <w:family w:val="swiss"/>
    <w:pitch w:val="variable"/>
    <w:sig w:usb0="600002FF" w:usb1="02000001" w:usb2="00000000" w:usb3="00000000" w:csb0="0000019F" w:csb1="00000000"/>
    <w:embedRegular r:id="rId7" w:fontKey="{1ECDD37C-7A46-4A24-BFC6-4BF4EBCDB9AA}"/>
    <w:embedItalic r:id="rId8" w:fontKey="{FD425FA4-DA79-4F15-B132-EA9BE8F489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0CBB554-C7E3-4EBF-AAF0-EE84434E0719}"/>
  </w:font>
  <w:font w:name="Fira Sans Extra Condensed SemiB">
    <w:altName w:val="Arial"/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10" w:fontKey="{FD4982F9-8D07-4E63-9D1F-95A90E53E9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2AC170D-5581-47D2-A6C9-01190FF349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9F59764" w14:textId="77777777" w:rsidR="002937D6" w:rsidRDefault="002937D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C828BE6" w14:textId="77777777" w:rsidR="002937D6" w:rsidRDefault="002937D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0ED652C" w14:textId="77777777" w:rsidR="002937D6" w:rsidRDefault="002937D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AD264" w14:textId="77777777" w:rsidR="00AD1C30" w:rsidRDefault="00AD1C30" w:rsidP="000662E2">
      <w:pPr>
        <w:spacing w:after="0" w:line="240" w:lineRule="auto"/>
      </w:pPr>
      <w:r>
        <w:separator/>
      </w:r>
    </w:p>
  </w:footnote>
  <w:footnote w:type="continuationSeparator" w:id="0">
    <w:p w14:paraId="00F42FD4" w14:textId="77777777" w:rsidR="00AD1C30" w:rsidRDefault="00AD1C30" w:rsidP="000662E2">
      <w:pPr>
        <w:spacing w:after="0" w:line="240" w:lineRule="auto"/>
      </w:pPr>
      <w:r>
        <w:continuationSeparator/>
      </w:r>
    </w:p>
  </w:footnote>
  <w:footnote w:id="1">
    <w:p w14:paraId="211B9F76" w14:textId="13C54864" w:rsidR="002937D6" w:rsidRDefault="002937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649BC">
        <w:rPr>
          <w:sz w:val="19"/>
          <w:szCs w:val="19"/>
        </w:rPr>
        <w:t>Dane ostateczne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02361" w14:textId="77777777" w:rsidR="002937D6" w:rsidRDefault="002937D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5D688B1" wp14:editId="6246B31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5EEB6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12A16C8" w14:textId="77777777" w:rsidR="002937D6" w:rsidRDefault="002937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CA0CA" w14:textId="77777777" w:rsidR="002937D6" w:rsidRDefault="002937D6">
    <w:pPr>
      <w:pStyle w:val="Nagwek"/>
      <w:rPr>
        <w:noProof/>
        <w:lang w:eastAsia="pl-PL"/>
      </w:rPr>
    </w:pPr>
    <w:r>
      <w:rPr>
        <w:noProof/>
        <w:lang w:eastAsia="ja-JP"/>
      </w:rPr>
      <w:drawing>
        <wp:anchor distT="0" distB="0" distL="114300" distR="114300" simplePos="0" relativeHeight="251674624" behindDoc="1" locked="0" layoutInCell="1" allowOverlap="1" wp14:anchorId="4D512317" wp14:editId="3CBC09DD">
          <wp:simplePos x="0" y="0"/>
          <wp:positionH relativeFrom="column">
            <wp:posOffset>2999830</wp:posOffset>
          </wp:positionH>
          <wp:positionV relativeFrom="paragraph">
            <wp:posOffset>186305</wp:posOffset>
          </wp:positionV>
          <wp:extent cx="1499870" cy="641985"/>
          <wp:effectExtent l="0" t="0" r="5080" b="5715"/>
          <wp:wrapSquare wrapText="bothSides"/>
          <wp:docPr id="41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870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4D33B54" wp14:editId="5E4ED22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279F7E" w14:textId="77777777" w:rsidR="002937D6" w:rsidRPr="003C6C8D" w:rsidRDefault="002937D6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D33B54" id="Schemat blokowy: opóźnienie 6" o:spid="_x0000_s1031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2279F7E" w14:textId="77777777" w:rsidR="002937D6" w:rsidRPr="003C6C8D" w:rsidRDefault="002937D6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8163DA0" wp14:editId="5846E85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015E2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488149A3" w14:textId="77777777" w:rsidR="002937D6" w:rsidRDefault="002937D6">
    <w:pPr>
      <w:pStyle w:val="Nagwek"/>
      <w:rPr>
        <w:noProof/>
        <w:lang w:eastAsia="pl-PL"/>
      </w:rPr>
    </w:pPr>
    <w:r>
      <w:rPr>
        <w:noProof/>
      </w:rPr>
      <w:drawing>
        <wp:inline distT="0" distB="0" distL="0" distR="0" wp14:anchorId="334CE4F8" wp14:editId="27F8C5E0">
          <wp:extent cx="2675255" cy="386080"/>
          <wp:effectExtent l="0" t="0" r="0" b="0"/>
          <wp:docPr id="24" name="Obraz 24" descr="Logo Głównego Urzędu Statystycznego i logo Narodowego Spisu Powszechnego Ludności i Mieszkań 20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Logo Głównego Urzędu Statystycznego i logo Narodowego Spisu Powszechnego Ludności i Mieszkań 2021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4183" b="19726"/>
                  <a:stretch/>
                </pic:blipFill>
                <pic:spPr bwMode="auto">
                  <a:xfrm>
                    <a:off x="0" y="0"/>
                    <a:ext cx="2675255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2F2CD68" w14:textId="77777777" w:rsidR="002937D6" w:rsidRDefault="002937D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DCBFCAB" wp14:editId="05E56E2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6 grudnia 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6DA467" w14:textId="4EE173CA" w:rsidR="002937D6" w:rsidRPr="00A01B40" w:rsidRDefault="002937D6" w:rsidP="00F049AB">
                          <w:pPr>
                            <w:pStyle w:val="Datainformacjisygnalnej"/>
                          </w:pPr>
                          <w:r>
                            <w:t>06.12.2022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FCA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 6 grudnia 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P4OQIAAD0EAAAOAAAAZHJzL2Uyb0RvYy54bWysU9tu2zAMfR+wfxD0vjhxLmuMOEXXrsOA&#10;bivQ7QMYWY7VyKImKbGzrx8lp2mwvQ3Lg0CF5iHP4dHqum81O0jnFZqST0ZjzqQRWCmzLfmP7/fv&#10;rjjzAUwFGo0s+VF6fr1++2bV2ULm2KCupGMEYnzR2ZI3Idgiy7xoZAt+hFYaStboWgh0ddusctAR&#10;equzfDxeZB26yjoU0nv6925I8nXCr2spwre69jIwXXKaLaTTpXMTz2y9gmLrwDZKnMaAf5iiBWWo&#10;6RnqDgKwvVN/QbVKOPRYh5HANsO6VkImDsRmMv6DzVMDViYuJI63Z5n8/4MVXw+Pjqmq5LQoAy2t&#10;6BG1ZEHufMBOspyzSnpBkiVOdr/RagfiWTFl0lpi6I9bA9rIZ7ZgW7evjAKWj/OcuVFUuLO+oEZP&#10;llqF/gP25JSklrcPKHaeGbxtwGzljXPYNRIqYjiJldlF6YDjI8im+4IVjQr7gAmor10b5SdBGaHT&#10;po/n7co+MBFbzqZ5vpxyJig3nS7mV8vUAoqXaut8+CSxZTEouSP3JHQ4PPgQp4Hi5ZPYzOC90jo5&#10;SBvWlXw5z+ep4CLTqkAG16olhcfxN1gukvxoqlQcQOkhpgbanFhHogPl0G/6tKIkSVRkg9WRZHA4&#10;+JneHwUNul+cdeTlkvufe3CSM/3ZkJTLyWwWzZ8us/n7nC7uMrO5zIARBFXywNkQ3ob0YAbKNyR5&#10;rZIar5OcRiaPJpFO7yka5vKevnp99evfAA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JJXU/g5AgAAPQ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0D6DA467" w14:textId="4EE173CA" w:rsidR="002937D6" w:rsidRPr="00A01B40" w:rsidRDefault="002937D6" w:rsidP="00F049AB">
                    <w:pPr>
                      <w:pStyle w:val="Datainformacjisygnalnej"/>
                    </w:pPr>
                    <w:r>
                      <w:t>06.12.2022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5ACC5" w14:textId="77777777" w:rsidR="002937D6" w:rsidRDefault="002937D6">
    <w:pPr>
      <w:pStyle w:val="Nagwek"/>
    </w:pPr>
  </w:p>
  <w:p w14:paraId="5CB1DA48" w14:textId="77777777" w:rsidR="002937D6" w:rsidRDefault="002937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3CC"/>
    <w:rsid w:val="00001C5B"/>
    <w:rsid w:val="00003437"/>
    <w:rsid w:val="000067EE"/>
    <w:rsid w:val="0000709F"/>
    <w:rsid w:val="000108B8"/>
    <w:rsid w:val="000152F5"/>
    <w:rsid w:val="000157FC"/>
    <w:rsid w:val="00016B06"/>
    <w:rsid w:val="00016C86"/>
    <w:rsid w:val="0002266F"/>
    <w:rsid w:val="0002377B"/>
    <w:rsid w:val="00023FFF"/>
    <w:rsid w:val="00024972"/>
    <w:rsid w:val="0002750E"/>
    <w:rsid w:val="00027F6A"/>
    <w:rsid w:val="0003044B"/>
    <w:rsid w:val="0003141F"/>
    <w:rsid w:val="00033617"/>
    <w:rsid w:val="000336DB"/>
    <w:rsid w:val="00036CA1"/>
    <w:rsid w:val="00037378"/>
    <w:rsid w:val="00041911"/>
    <w:rsid w:val="00042416"/>
    <w:rsid w:val="00044257"/>
    <w:rsid w:val="0004582E"/>
    <w:rsid w:val="000470AA"/>
    <w:rsid w:val="00050728"/>
    <w:rsid w:val="0005491A"/>
    <w:rsid w:val="00057CA1"/>
    <w:rsid w:val="000601D9"/>
    <w:rsid w:val="000630BB"/>
    <w:rsid w:val="000647A9"/>
    <w:rsid w:val="00064B14"/>
    <w:rsid w:val="000662E2"/>
    <w:rsid w:val="00066883"/>
    <w:rsid w:val="00071200"/>
    <w:rsid w:val="00071B39"/>
    <w:rsid w:val="0007467C"/>
    <w:rsid w:val="00074DD8"/>
    <w:rsid w:val="00075759"/>
    <w:rsid w:val="000806F7"/>
    <w:rsid w:val="00084976"/>
    <w:rsid w:val="000863EB"/>
    <w:rsid w:val="00092305"/>
    <w:rsid w:val="00095886"/>
    <w:rsid w:val="00097840"/>
    <w:rsid w:val="000A33F6"/>
    <w:rsid w:val="000A367E"/>
    <w:rsid w:val="000A7BFB"/>
    <w:rsid w:val="000B06DA"/>
    <w:rsid w:val="000B0727"/>
    <w:rsid w:val="000B1077"/>
    <w:rsid w:val="000B14C3"/>
    <w:rsid w:val="000B4615"/>
    <w:rsid w:val="000B4AA5"/>
    <w:rsid w:val="000B5A7E"/>
    <w:rsid w:val="000B68C9"/>
    <w:rsid w:val="000C135D"/>
    <w:rsid w:val="000C1CF8"/>
    <w:rsid w:val="000C2A1D"/>
    <w:rsid w:val="000D0F12"/>
    <w:rsid w:val="000D11F6"/>
    <w:rsid w:val="000D1D43"/>
    <w:rsid w:val="000D225C"/>
    <w:rsid w:val="000D2A5C"/>
    <w:rsid w:val="000D2A60"/>
    <w:rsid w:val="000D39F0"/>
    <w:rsid w:val="000D54FD"/>
    <w:rsid w:val="000D5D87"/>
    <w:rsid w:val="000E0832"/>
    <w:rsid w:val="000E0918"/>
    <w:rsid w:val="000E2DBD"/>
    <w:rsid w:val="000E61DD"/>
    <w:rsid w:val="000E79A9"/>
    <w:rsid w:val="000F0622"/>
    <w:rsid w:val="000F16C2"/>
    <w:rsid w:val="000F1845"/>
    <w:rsid w:val="000F26D1"/>
    <w:rsid w:val="000F3C78"/>
    <w:rsid w:val="000F65AE"/>
    <w:rsid w:val="000F6F27"/>
    <w:rsid w:val="001011C3"/>
    <w:rsid w:val="00103728"/>
    <w:rsid w:val="00103B00"/>
    <w:rsid w:val="00105D1B"/>
    <w:rsid w:val="00106552"/>
    <w:rsid w:val="00106DA3"/>
    <w:rsid w:val="001078A4"/>
    <w:rsid w:val="00107E0C"/>
    <w:rsid w:val="00110214"/>
    <w:rsid w:val="00110D87"/>
    <w:rsid w:val="00112399"/>
    <w:rsid w:val="0011253B"/>
    <w:rsid w:val="001134E3"/>
    <w:rsid w:val="00114DB9"/>
    <w:rsid w:val="00116087"/>
    <w:rsid w:val="00117711"/>
    <w:rsid w:val="00117CEA"/>
    <w:rsid w:val="0012126C"/>
    <w:rsid w:val="00121355"/>
    <w:rsid w:val="00125ED3"/>
    <w:rsid w:val="00126DDA"/>
    <w:rsid w:val="00126F78"/>
    <w:rsid w:val="00130296"/>
    <w:rsid w:val="00134145"/>
    <w:rsid w:val="00134279"/>
    <w:rsid w:val="00136736"/>
    <w:rsid w:val="00136D67"/>
    <w:rsid w:val="001423B6"/>
    <w:rsid w:val="00142EF8"/>
    <w:rsid w:val="001448A7"/>
    <w:rsid w:val="00146621"/>
    <w:rsid w:val="00155AF5"/>
    <w:rsid w:val="001617E3"/>
    <w:rsid w:val="00162325"/>
    <w:rsid w:val="00162E25"/>
    <w:rsid w:val="001716B5"/>
    <w:rsid w:val="001724D5"/>
    <w:rsid w:val="001746FC"/>
    <w:rsid w:val="00176B63"/>
    <w:rsid w:val="00177F6A"/>
    <w:rsid w:val="00180CFC"/>
    <w:rsid w:val="0018112D"/>
    <w:rsid w:val="0018536A"/>
    <w:rsid w:val="00187178"/>
    <w:rsid w:val="001951DA"/>
    <w:rsid w:val="00195CBB"/>
    <w:rsid w:val="00196184"/>
    <w:rsid w:val="00197BCC"/>
    <w:rsid w:val="001A02D2"/>
    <w:rsid w:val="001A069B"/>
    <w:rsid w:val="001A43D9"/>
    <w:rsid w:val="001B053D"/>
    <w:rsid w:val="001B0A52"/>
    <w:rsid w:val="001B60F0"/>
    <w:rsid w:val="001B78FC"/>
    <w:rsid w:val="001C3269"/>
    <w:rsid w:val="001C55A5"/>
    <w:rsid w:val="001C7C43"/>
    <w:rsid w:val="001D19B6"/>
    <w:rsid w:val="001D1DB4"/>
    <w:rsid w:val="001D23F1"/>
    <w:rsid w:val="001D25F9"/>
    <w:rsid w:val="001D4F77"/>
    <w:rsid w:val="001D61ED"/>
    <w:rsid w:val="001E0A8A"/>
    <w:rsid w:val="001E4257"/>
    <w:rsid w:val="001E50C2"/>
    <w:rsid w:val="001E5B2D"/>
    <w:rsid w:val="001E6831"/>
    <w:rsid w:val="0020059C"/>
    <w:rsid w:val="0020156C"/>
    <w:rsid w:val="002015C4"/>
    <w:rsid w:val="00202461"/>
    <w:rsid w:val="00203599"/>
    <w:rsid w:val="00205AED"/>
    <w:rsid w:val="00206212"/>
    <w:rsid w:val="002108E5"/>
    <w:rsid w:val="00216634"/>
    <w:rsid w:val="0022336D"/>
    <w:rsid w:val="002322C4"/>
    <w:rsid w:val="00236841"/>
    <w:rsid w:val="00242D31"/>
    <w:rsid w:val="00244265"/>
    <w:rsid w:val="00247E6C"/>
    <w:rsid w:val="00247FAD"/>
    <w:rsid w:val="0025092A"/>
    <w:rsid w:val="00250F51"/>
    <w:rsid w:val="00253C7B"/>
    <w:rsid w:val="0025460A"/>
    <w:rsid w:val="0025481E"/>
    <w:rsid w:val="002570C3"/>
    <w:rsid w:val="002574F9"/>
    <w:rsid w:val="00262B61"/>
    <w:rsid w:val="00262CC6"/>
    <w:rsid w:val="002634A0"/>
    <w:rsid w:val="00263E08"/>
    <w:rsid w:val="00272AF5"/>
    <w:rsid w:val="00276289"/>
    <w:rsid w:val="00276811"/>
    <w:rsid w:val="00276C20"/>
    <w:rsid w:val="00280301"/>
    <w:rsid w:val="00281875"/>
    <w:rsid w:val="00282699"/>
    <w:rsid w:val="00284B1F"/>
    <w:rsid w:val="00284EE9"/>
    <w:rsid w:val="00291EDE"/>
    <w:rsid w:val="002926DF"/>
    <w:rsid w:val="002937D6"/>
    <w:rsid w:val="00296697"/>
    <w:rsid w:val="002A0B1C"/>
    <w:rsid w:val="002A2481"/>
    <w:rsid w:val="002A2E23"/>
    <w:rsid w:val="002A49DA"/>
    <w:rsid w:val="002A4EA8"/>
    <w:rsid w:val="002A5AF2"/>
    <w:rsid w:val="002B0472"/>
    <w:rsid w:val="002B5783"/>
    <w:rsid w:val="002B6B12"/>
    <w:rsid w:val="002B766C"/>
    <w:rsid w:val="002C21F0"/>
    <w:rsid w:val="002C4390"/>
    <w:rsid w:val="002C47E2"/>
    <w:rsid w:val="002C69FE"/>
    <w:rsid w:val="002D01DF"/>
    <w:rsid w:val="002D47AB"/>
    <w:rsid w:val="002D4E03"/>
    <w:rsid w:val="002D5620"/>
    <w:rsid w:val="002D63DC"/>
    <w:rsid w:val="002E10EF"/>
    <w:rsid w:val="002E214B"/>
    <w:rsid w:val="002E3EB3"/>
    <w:rsid w:val="002E5706"/>
    <w:rsid w:val="002E6140"/>
    <w:rsid w:val="002E6985"/>
    <w:rsid w:val="002E71B6"/>
    <w:rsid w:val="002F0E4B"/>
    <w:rsid w:val="002F35F6"/>
    <w:rsid w:val="002F41CC"/>
    <w:rsid w:val="002F472A"/>
    <w:rsid w:val="002F5758"/>
    <w:rsid w:val="002F77C8"/>
    <w:rsid w:val="00304F22"/>
    <w:rsid w:val="00306BE8"/>
    <w:rsid w:val="00306C7C"/>
    <w:rsid w:val="00307750"/>
    <w:rsid w:val="00314F86"/>
    <w:rsid w:val="00316A57"/>
    <w:rsid w:val="00317F4D"/>
    <w:rsid w:val="0032272E"/>
    <w:rsid w:val="00322EDD"/>
    <w:rsid w:val="00326459"/>
    <w:rsid w:val="00327918"/>
    <w:rsid w:val="00330106"/>
    <w:rsid w:val="003309FA"/>
    <w:rsid w:val="00332320"/>
    <w:rsid w:val="0033576C"/>
    <w:rsid w:val="00336B64"/>
    <w:rsid w:val="00336D1C"/>
    <w:rsid w:val="00344B1C"/>
    <w:rsid w:val="00346980"/>
    <w:rsid w:val="003472D4"/>
    <w:rsid w:val="00347D72"/>
    <w:rsid w:val="003508CA"/>
    <w:rsid w:val="00352B16"/>
    <w:rsid w:val="00352E9B"/>
    <w:rsid w:val="00353F45"/>
    <w:rsid w:val="00355762"/>
    <w:rsid w:val="00357611"/>
    <w:rsid w:val="00361709"/>
    <w:rsid w:val="00361D0E"/>
    <w:rsid w:val="00363354"/>
    <w:rsid w:val="0036432A"/>
    <w:rsid w:val="00364AF9"/>
    <w:rsid w:val="00365AB3"/>
    <w:rsid w:val="00366344"/>
    <w:rsid w:val="00367237"/>
    <w:rsid w:val="003676AB"/>
    <w:rsid w:val="0037077F"/>
    <w:rsid w:val="00371A98"/>
    <w:rsid w:val="00372411"/>
    <w:rsid w:val="00373882"/>
    <w:rsid w:val="00374A9F"/>
    <w:rsid w:val="003756AA"/>
    <w:rsid w:val="0037687C"/>
    <w:rsid w:val="0037719A"/>
    <w:rsid w:val="00383775"/>
    <w:rsid w:val="003839E9"/>
    <w:rsid w:val="003843DB"/>
    <w:rsid w:val="0038631B"/>
    <w:rsid w:val="00386EE6"/>
    <w:rsid w:val="003919F7"/>
    <w:rsid w:val="003925B6"/>
    <w:rsid w:val="00393761"/>
    <w:rsid w:val="00394E26"/>
    <w:rsid w:val="00396691"/>
    <w:rsid w:val="00397D18"/>
    <w:rsid w:val="003A1676"/>
    <w:rsid w:val="003A1B36"/>
    <w:rsid w:val="003A3A50"/>
    <w:rsid w:val="003A441B"/>
    <w:rsid w:val="003A612C"/>
    <w:rsid w:val="003B1454"/>
    <w:rsid w:val="003B18B6"/>
    <w:rsid w:val="003B2113"/>
    <w:rsid w:val="003C01BA"/>
    <w:rsid w:val="003C096E"/>
    <w:rsid w:val="003C109A"/>
    <w:rsid w:val="003C161B"/>
    <w:rsid w:val="003C59E0"/>
    <w:rsid w:val="003C689E"/>
    <w:rsid w:val="003C6C8D"/>
    <w:rsid w:val="003D2656"/>
    <w:rsid w:val="003D386A"/>
    <w:rsid w:val="003D4F95"/>
    <w:rsid w:val="003D5F42"/>
    <w:rsid w:val="003D60A9"/>
    <w:rsid w:val="003E03B6"/>
    <w:rsid w:val="003E1A1F"/>
    <w:rsid w:val="003E3E96"/>
    <w:rsid w:val="003E4387"/>
    <w:rsid w:val="003E45F9"/>
    <w:rsid w:val="003E76F6"/>
    <w:rsid w:val="003F14F6"/>
    <w:rsid w:val="003F3F9E"/>
    <w:rsid w:val="003F4C97"/>
    <w:rsid w:val="003F666D"/>
    <w:rsid w:val="003F7FE6"/>
    <w:rsid w:val="00400193"/>
    <w:rsid w:val="004021EA"/>
    <w:rsid w:val="004043D2"/>
    <w:rsid w:val="00406EA6"/>
    <w:rsid w:val="00413078"/>
    <w:rsid w:val="00416EAF"/>
    <w:rsid w:val="0041782E"/>
    <w:rsid w:val="004212E7"/>
    <w:rsid w:val="00423161"/>
    <w:rsid w:val="00423C88"/>
    <w:rsid w:val="0042446D"/>
    <w:rsid w:val="00427BF8"/>
    <w:rsid w:val="0043193A"/>
    <w:rsid w:val="00431C02"/>
    <w:rsid w:val="0043239F"/>
    <w:rsid w:val="004323F4"/>
    <w:rsid w:val="00434533"/>
    <w:rsid w:val="0043548C"/>
    <w:rsid w:val="0043674C"/>
    <w:rsid w:val="00437395"/>
    <w:rsid w:val="004414F9"/>
    <w:rsid w:val="00442DF4"/>
    <w:rsid w:val="00445047"/>
    <w:rsid w:val="00445E79"/>
    <w:rsid w:val="0044641D"/>
    <w:rsid w:val="00446749"/>
    <w:rsid w:val="00447CD6"/>
    <w:rsid w:val="0045138F"/>
    <w:rsid w:val="00453A9E"/>
    <w:rsid w:val="00453EB7"/>
    <w:rsid w:val="0045627B"/>
    <w:rsid w:val="004564C1"/>
    <w:rsid w:val="00457427"/>
    <w:rsid w:val="0046036B"/>
    <w:rsid w:val="004608F8"/>
    <w:rsid w:val="00463E39"/>
    <w:rsid w:val="00464E03"/>
    <w:rsid w:val="004657FC"/>
    <w:rsid w:val="00465BC8"/>
    <w:rsid w:val="00472267"/>
    <w:rsid w:val="004733F6"/>
    <w:rsid w:val="00474E69"/>
    <w:rsid w:val="00477C09"/>
    <w:rsid w:val="00480BE3"/>
    <w:rsid w:val="00482E29"/>
    <w:rsid w:val="00483E9F"/>
    <w:rsid w:val="00485A2C"/>
    <w:rsid w:val="0049621B"/>
    <w:rsid w:val="00497098"/>
    <w:rsid w:val="004975D2"/>
    <w:rsid w:val="004A1053"/>
    <w:rsid w:val="004A1D19"/>
    <w:rsid w:val="004A1FCD"/>
    <w:rsid w:val="004A4BC2"/>
    <w:rsid w:val="004A4EAD"/>
    <w:rsid w:val="004A6296"/>
    <w:rsid w:val="004A67FB"/>
    <w:rsid w:val="004B2038"/>
    <w:rsid w:val="004B33F0"/>
    <w:rsid w:val="004B4471"/>
    <w:rsid w:val="004B6FC0"/>
    <w:rsid w:val="004C1895"/>
    <w:rsid w:val="004C4EE5"/>
    <w:rsid w:val="004C6D40"/>
    <w:rsid w:val="004D567B"/>
    <w:rsid w:val="004D572D"/>
    <w:rsid w:val="004D7401"/>
    <w:rsid w:val="004D77C0"/>
    <w:rsid w:val="004E1C1E"/>
    <w:rsid w:val="004E5601"/>
    <w:rsid w:val="004E6AA8"/>
    <w:rsid w:val="004F0C3C"/>
    <w:rsid w:val="004F19BE"/>
    <w:rsid w:val="004F2280"/>
    <w:rsid w:val="004F23BB"/>
    <w:rsid w:val="004F3FB9"/>
    <w:rsid w:val="004F63FC"/>
    <w:rsid w:val="00503D0C"/>
    <w:rsid w:val="00505A92"/>
    <w:rsid w:val="00510D0D"/>
    <w:rsid w:val="00514587"/>
    <w:rsid w:val="0051499E"/>
    <w:rsid w:val="005179C6"/>
    <w:rsid w:val="005203F1"/>
    <w:rsid w:val="00521BC3"/>
    <w:rsid w:val="00533573"/>
    <w:rsid w:val="00533632"/>
    <w:rsid w:val="00534013"/>
    <w:rsid w:val="00534665"/>
    <w:rsid w:val="00534AF7"/>
    <w:rsid w:val="00540C5C"/>
    <w:rsid w:val="00541E6E"/>
    <w:rsid w:val="0054251F"/>
    <w:rsid w:val="00550FFC"/>
    <w:rsid w:val="005520D8"/>
    <w:rsid w:val="00555CFB"/>
    <w:rsid w:val="0055631C"/>
    <w:rsid w:val="00556CF1"/>
    <w:rsid w:val="00564A27"/>
    <w:rsid w:val="00564B95"/>
    <w:rsid w:val="00567763"/>
    <w:rsid w:val="00567D0B"/>
    <w:rsid w:val="00572ED2"/>
    <w:rsid w:val="005762A7"/>
    <w:rsid w:val="00576536"/>
    <w:rsid w:val="00577228"/>
    <w:rsid w:val="00582B79"/>
    <w:rsid w:val="00584D4E"/>
    <w:rsid w:val="00586183"/>
    <w:rsid w:val="00587032"/>
    <w:rsid w:val="00587CEE"/>
    <w:rsid w:val="005903A4"/>
    <w:rsid w:val="005916D7"/>
    <w:rsid w:val="00593B60"/>
    <w:rsid w:val="0059427F"/>
    <w:rsid w:val="005977DB"/>
    <w:rsid w:val="005A14CE"/>
    <w:rsid w:val="005A27C4"/>
    <w:rsid w:val="005A5300"/>
    <w:rsid w:val="005A698C"/>
    <w:rsid w:val="005A6A53"/>
    <w:rsid w:val="005B1FD4"/>
    <w:rsid w:val="005B328E"/>
    <w:rsid w:val="005B3943"/>
    <w:rsid w:val="005B7EAB"/>
    <w:rsid w:val="005C0CAC"/>
    <w:rsid w:val="005C1A58"/>
    <w:rsid w:val="005C1BB0"/>
    <w:rsid w:val="005C55AE"/>
    <w:rsid w:val="005C6C8B"/>
    <w:rsid w:val="005C7DC8"/>
    <w:rsid w:val="005D062E"/>
    <w:rsid w:val="005D70F7"/>
    <w:rsid w:val="005E0799"/>
    <w:rsid w:val="005E0F89"/>
    <w:rsid w:val="005E10F9"/>
    <w:rsid w:val="005E1200"/>
    <w:rsid w:val="005E167A"/>
    <w:rsid w:val="005E2725"/>
    <w:rsid w:val="005E6027"/>
    <w:rsid w:val="005E74CC"/>
    <w:rsid w:val="005E7751"/>
    <w:rsid w:val="005F26D8"/>
    <w:rsid w:val="005F45EE"/>
    <w:rsid w:val="005F5A80"/>
    <w:rsid w:val="0060074E"/>
    <w:rsid w:val="006044FF"/>
    <w:rsid w:val="00607CC5"/>
    <w:rsid w:val="0061179B"/>
    <w:rsid w:val="006125F9"/>
    <w:rsid w:val="00615A06"/>
    <w:rsid w:val="00624CF6"/>
    <w:rsid w:val="00626DA1"/>
    <w:rsid w:val="00627F98"/>
    <w:rsid w:val="00632DE7"/>
    <w:rsid w:val="00633014"/>
    <w:rsid w:val="00633162"/>
    <w:rsid w:val="0063437B"/>
    <w:rsid w:val="00637101"/>
    <w:rsid w:val="0064017E"/>
    <w:rsid w:val="00641E44"/>
    <w:rsid w:val="006501DC"/>
    <w:rsid w:val="00654BB6"/>
    <w:rsid w:val="00655A6B"/>
    <w:rsid w:val="006606C5"/>
    <w:rsid w:val="00661BA8"/>
    <w:rsid w:val="006650F2"/>
    <w:rsid w:val="006657AE"/>
    <w:rsid w:val="006673CA"/>
    <w:rsid w:val="0067313F"/>
    <w:rsid w:val="00673C26"/>
    <w:rsid w:val="00674DE5"/>
    <w:rsid w:val="00677688"/>
    <w:rsid w:val="00677ACA"/>
    <w:rsid w:val="00680174"/>
    <w:rsid w:val="006812AF"/>
    <w:rsid w:val="0068327D"/>
    <w:rsid w:val="0068485F"/>
    <w:rsid w:val="006855D0"/>
    <w:rsid w:val="0068652F"/>
    <w:rsid w:val="0069006F"/>
    <w:rsid w:val="0069124F"/>
    <w:rsid w:val="00691534"/>
    <w:rsid w:val="00692C77"/>
    <w:rsid w:val="00693880"/>
    <w:rsid w:val="00693EC6"/>
    <w:rsid w:val="00694AF0"/>
    <w:rsid w:val="00697167"/>
    <w:rsid w:val="006A366E"/>
    <w:rsid w:val="006A4686"/>
    <w:rsid w:val="006A487C"/>
    <w:rsid w:val="006A59F9"/>
    <w:rsid w:val="006B0E9E"/>
    <w:rsid w:val="006B486D"/>
    <w:rsid w:val="006B58DF"/>
    <w:rsid w:val="006B5AE4"/>
    <w:rsid w:val="006B7BE6"/>
    <w:rsid w:val="006C6564"/>
    <w:rsid w:val="006D0456"/>
    <w:rsid w:val="006D0F72"/>
    <w:rsid w:val="006D1507"/>
    <w:rsid w:val="006D18A7"/>
    <w:rsid w:val="006D28E6"/>
    <w:rsid w:val="006D2F75"/>
    <w:rsid w:val="006D4054"/>
    <w:rsid w:val="006D4D5C"/>
    <w:rsid w:val="006D64CF"/>
    <w:rsid w:val="006E02EC"/>
    <w:rsid w:val="006E0EF2"/>
    <w:rsid w:val="006E1644"/>
    <w:rsid w:val="006E352B"/>
    <w:rsid w:val="006E3C4F"/>
    <w:rsid w:val="006E6F41"/>
    <w:rsid w:val="006E7008"/>
    <w:rsid w:val="006E73E6"/>
    <w:rsid w:val="006E7F34"/>
    <w:rsid w:val="006F5E9C"/>
    <w:rsid w:val="00700C1C"/>
    <w:rsid w:val="0070110A"/>
    <w:rsid w:val="00701562"/>
    <w:rsid w:val="007041D1"/>
    <w:rsid w:val="00705491"/>
    <w:rsid w:val="00710A47"/>
    <w:rsid w:val="00712901"/>
    <w:rsid w:val="007203AD"/>
    <w:rsid w:val="007211B1"/>
    <w:rsid w:val="00721C25"/>
    <w:rsid w:val="00721D9D"/>
    <w:rsid w:val="00721DD9"/>
    <w:rsid w:val="00726490"/>
    <w:rsid w:val="00727206"/>
    <w:rsid w:val="007277DA"/>
    <w:rsid w:val="00731954"/>
    <w:rsid w:val="00731D27"/>
    <w:rsid w:val="00736D80"/>
    <w:rsid w:val="00737ADA"/>
    <w:rsid w:val="00741CA6"/>
    <w:rsid w:val="0074427C"/>
    <w:rsid w:val="007455C4"/>
    <w:rsid w:val="00746187"/>
    <w:rsid w:val="007466AE"/>
    <w:rsid w:val="00747470"/>
    <w:rsid w:val="00747B75"/>
    <w:rsid w:val="00750EAB"/>
    <w:rsid w:val="00755ED8"/>
    <w:rsid w:val="00757A1E"/>
    <w:rsid w:val="0076254F"/>
    <w:rsid w:val="00766A04"/>
    <w:rsid w:val="00770BF7"/>
    <w:rsid w:val="00775B73"/>
    <w:rsid w:val="007801F5"/>
    <w:rsid w:val="00783CA4"/>
    <w:rsid w:val="00783E62"/>
    <w:rsid w:val="007842FB"/>
    <w:rsid w:val="00786124"/>
    <w:rsid w:val="00787029"/>
    <w:rsid w:val="00787F8D"/>
    <w:rsid w:val="007905B6"/>
    <w:rsid w:val="0079359C"/>
    <w:rsid w:val="00793BC9"/>
    <w:rsid w:val="0079514B"/>
    <w:rsid w:val="00795252"/>
    <w:rsid w:val="007A2DC1"/>
    <w:rsid w:val="007A4740"/>
    <w:rsid w:val="007A4E1C"/>
    <w:rsid w:val="007A52EE"/>
    <w:rsid w:val="007B074E"/>
    <w:rsid w:val="007B3B40"/>
    <w:rsid w:val="007B5B1A"/>
    <w:rsid w:val="007D0869"/>
    <w:rsid w:val="007D14C4"/>
    <w:rsid w:val="007D2522"/>
    <w:rsid w:val="007D3319"/>
    <w:rsid w:val="007D335D"/>
    <w:rsid w:val="007D605C"/>
    <w:rsid w:val="007E218B"/>
    <w:rsid w:val="007E3314"/>
    <w:rsid w:val="007E3514"/>
    <w:rsid w:val="007E4293"/>
    <w:rsid w:val="007E4B03"/>
    <w:rsid w:val="007E5F66"/>
    <w:rsid w:val="007E6FF8"/>
    <w:rsid w:val="007F03D1"/>
    <w:rsid w:val="007F0F98"/>
    <w:rsid w:val="007F12BA"/>
    <w:rsid w:val="007F274C"/>
    <w:rsid w:val="007F324B"/>
    <w:rsid w:val="007F37C3"/>
    <w:rsid w:val="007F440B"/>
    <w:rsid w:val="007F5C6F"/>
    <w:rsid w:val="0080553C"/>
    <w:rsid w:val="00805648"/>
    <w:rsid w:val="00805B46"/>
    <w:rsid w:val="00805DB4"/>
    <w:rsid w:val="00807E47"/>
    <w:rsid w:val="00812968"/>
    <w:rsid w:val="008135D9"/>
    <w:rsid w:val="00816E30"/>
    <w:rsid w:val="008172B8"/>
    <w:rsid w:val="00820FE3"/>
    <w:rsid w:val="008213E4"/>
    <w:rsid w:val="0082297B"/>
    <w:rsid w:val="00823593"/>
    <w:rsid w:val="008238E3"/>
    <w:rsid w:val="00825DC2"/>
    <w:rsid w:val="00831C11"/>
    <w:rsid w:val="00833546"/>
    <w:rsid w:val="00834AD3"/>
    <w:rsid w:val="0083565F"/>
    <w:rsid w:val="00837846"/>
    <w:rsid w:val="008406B8"/>
    <w:rsid w:val="00840CC4"/>
    <w:rsid w:val="00843795"/>
    <w:rsid w:val="00847F0F"/>
    <w:rsid w:val="00852448"/>
    <w:rsid w:val="00853060"/>
    <w:rsid w:val="00876FDB"/>
    <w:rsid w:val="00877F6C"/>
    <w:rsid w:val="008815BA"/>
    <w:rsid w:val="0088258A"/>
    <w:rsid w:val="00883907"/>
    <w:rsid w:val="00885B22"/>
    <w:rsid w:val="00886332"/>
    <w:rsid w:val="00886373"/>
    <w:rsid w:val="008925F0"/>
    <w:rsid w:val="008928F5"/>
    <w:rsid w:val="0089448A"/>
    <w:rsid w:val="00897877"/>
    <w:rsid w:val="008A26D9"/>
    <w:rsid w:val="008A3745"/>
    <w:rsid w:val="008A408B"/>
    <w:rsid w:val="008A780B"/>
    <w:rsid w:val="008A7B5B"/>
    <w:rsid w:val="008B016C"/>
    <w:rsid w:val="008B12D2"/>
    <w:rsid w:val="008B2B5B"/>
    <w:rsid w:val="008B5DD5"/>
    <w:rsid w:val="008B77A7"/>
    <w:rsid w:val="008C02F8"/>
    <w:rsid w:val="008C0C29"/>
    <w:rsid w:val="008C3C51"/>
    <w:rsid w:val="008D02C9"/>
    <w:rsid w:val="008D02DA"/>
    <w:rsid w:val="008D51C4"/>
    <w:rsid w:val="008D7266"/>
    <w:rsid w:val="008D76BC"/>
    <w:rsid w:val="008E04CC"/>
    <w:rsid w:val="008E29C4"/>
    <w:rsid w:val="008E3C09"/>
    <w:rsid w:val="008E47A9"/>
    <w:rsid w:val="008E7DBA"/>
    <w:rsid w:val="008F0829"/>
    <w:rsid w:val="008F3638"/>
    <w:rsid w:val="008F4422"/>
    <w:rsid w:val="008F4441"/>
    <w:rsid w:val="008F6B20"/>
    <w:rsid w:val="008F6F31"/>
    <w:rsid w:val="008F74DF"/>
    <w:rsid w:val="00901148"/>
    <w:rsid w:val="0090126E"/>
    <w:rsid w:val="00902274"/>
    <w:rsid w:val="00903DB3"/>
    <w:rsid w:val="009127AC"/>
    <w:rsid w:val="009127BA"/>
    <w:rsid w:val="00920AAE"/>
    <w:rsid w:val="009227A4"/>
    <w:rsid w:val="009227A6"/>
    <w:rsid w:val="00924679"/>
    <w:rsid w:val="0093212C"/>
    <w:rsid w:val="00932C98"/>
    <w:rsid w:val="00933EC1"/>
    <w:rsid w:val="00935D17"/>
    <w:rsid w:val="00936EBF"/>
    <w:rsid w:val="009446AD"/>
    <w:rsid w:val="00945C0D"/>
    <w:rsid w:val="009465AA"/>
    <w:rsid w:val="00946B63"/>
    <w:rsid w:val="00950465"/>
    <w:rsid w:val="00951E91"/>
    <w:rsid w:val="009530DB"/>
    <w:rsid w:val="00953676"/>
    <w:rsid w:val="00954D6B"/>
    <w:rsid w:val="009558A5"/>
    <w:rsid w:val="00956F30"/>
    <w:rsid w:val="0095799D"/>
    <w:rsid w:val="00960EBD"/>
    <w:rsid w:val="00963508"/>
    <w:rsid w:val="00964698"/>
    <w:rsid w:val="00966C9A"/>
    <w:rsid w:val="009705EE"/>
    <w:rsid w:val="00974D95"/>
    <w:rsid w:val="00977927"/>
    <w:rsid w:val="00980C2F"/>
    <w:rsid w:val="0098135C"/>
    <w:rsid w:val="0098156A"/>
    <w:rsid w:val="00983E51"/>
    <w:rsid w:val="00991BAC"/>
    <w:rsid w:val="00994A8F"/>
    <w:rsid w:val="00994D43"/>
    <w:rsid w:val="0099511F"/>
    <w:rsid w:val="00995599"/>
    <w:rsid w:val="009A1216"/>
    <w:rsid w:val="009A2011"/>
    <w:rsid w:val="009A2F9E"/>
    <w:rsid w:val="009A522D"/>
    <w:rsid w:val="009A6EA0"/>
    <w:rsid w:val="009A7474"/>
    <w:rsid w:val="009B111D"/>
    <w:rsid w:val="009B65A8"/>
    <w:rsid w:val="009B7350"/>
    <w:rsid w:val="009C1335"/>
    <w:rsid w:val="009C1510"/>
    <w:rsid w:val="009C1AB2"/>
    <w:rsid w:val="009C430D"/>
    <w:rsid w:val="009C5E4C"/>
    <w:rsid w:val="009C7251"/>
    <w:rsid w:val="009C7E1E"/>
    <w:rsid w:val="009D1AEC"/>
    <w:rsid w:val="009D66E5"/>
    <w:rsid w:val="009D7254"/>
    <w:rsid w:val="009E00BC"/>
    <w:rsid w:val="009E1E2A"/>
    <w:rsid w:val="009E2E91"/>
    <w:rsid w:val="009E2F92"/>
    <w:rsid w:val="009E3632"/>
    <w:rsid w:val="009F3834"/>
    <w:rsid w:val="009F4ACE"/>
    <w:rsid w:val="009F6C1C"/>
    <w:rsid w:val="00A00A7C"/>
    <w:rsid w:val="00A01B40"/>
    <w:rsid w:val="00A0554D"/>
    <w:rsid w:val="00A059CD"/>
    <w:rsid w:val="00A1062B"/>
    <w:rsid w:val="00A139F5"/>
    <w:rsid w:val="00A1420F"/>
    <w:rsid w:val="00A27118"/>
    <w:rsid w:val="00A3095C"/>
    <w:rsid w:val="00A30BE9"/>
    <w:rsid w:val="00A31E99"/>
    <w:rsid w:val="00A32E16"/>
    <w:rsid w:val="00A365F4"/>
    <w:rsid w:val="00A44F5E"/>
    <w:rsid w:val="00A47D80"/>
    <w:rsid w:val="00A51DB6"/>
    <w:rsid w:val="00A53132"/>
    <w:rsid w:val="00A563F2"/>
    <w:rsid w:val="00A566E8"/>
    <w:rsid w:val="00A5746C"/>
    <w:rsid w:val="00A66347"/>
    <w:rsid w:val="00A6708C"/>
    <w:rsid w:val="00A67D82"/>
    <w:rsid w:val="00A700A6"/>
    <w:rsid w:val="00A74628"/>
    <w:rsid w:val="00A75E90"/>
    <w:rsid w:val="00A810F9"/>
    <w:rsid w:val="00A82D31"/>
    <w:rsid w:val="00A84021"/>
    <w:rsid w:val="00A84EB2"/>
    <w:rsid w:val="00A85E7E"/>
    <w:rsid w:val="00A86ECC"/>
    <w:rsid w:val="00A86FCC"/>
    <w:rsid w:val="00A87857"/>
    <w:rsid w:val="00A90A6D"/>
    <w:rsid w:val="00A92E65"/>
    <w:rsid w:val="00A946FD"/>
    <w:rsid w:val="00A9524D"/>
    <w:rsid w:val="00A95617"/>
    <w:rsid w:val="00A971E5"/>
    <w:rsid w:val="00AA5169"/>
    <w:rsid w:val="00AA710D"/>
    <w:rsid w:val="00AB02A0"/>
    <w:rsid w:val="00AB64F3"/>
    <w:rsid w:val="00AB6D25"/>
    <w:rsid w:val="00AB6FED"/>
    <w:rsid w:val="00AC38CF"/>
    <w:rsid w:val="00AC3CFA"/>
    <w:rsid w:val="00AC3D9B"/>
    <w:rsid w:val="00AD0E56"/>
    <w:rsid w:val="00AD1808"/>
    <w:rsid w:val="00AD1C30"/>
    <w:rsid w:val="00AD50D9"/>
    <w:rsid w:val="00AD75F2"/>
    <w:rsid w:val="00AD7D81"/>
    <w:rsid w:val="00AE229B"/>
    <w:rsid w:val="00AE2D4B"/>
    <w:rsid w:val="00AE4F99"/>
    <w:rsid w:val="00AE7171"/>
    <w:rsid w:val="00AF18B9"/>
    <w:rsid w:val="00AF4A3A"/>
    <w:rsid w:val="00B04C79"/>
    <w:rsid w:val="00B11B69"/>
    <w:rsid w:val="00B13AA4"/>
    <w:rsid w:val="00B14952"/>
    <w:rsid w:val="00B15DFF"/>
    <w:rsid w:val="00B16871"/>
    <w:rsid w:val="00B2005B"/>
    <w:rsid w:val="00B20482"/>
    <w:rsid w:val="00B2139D"/>
    <w:rsid w:val="00B2144C"/>
    <w:rsid w:val="00B24477"/>
    <w:rsid w:val="00B25B45"/>
    <w:rsid w:val="00B275B2"/>
    <w:rsid w:val="00B2760A"/>
    <w:rsid w:val="00B31E5A"/>
    <w:rsid w:val="00B328D4"/>
    <w:rsid w:val="00B40DBE"/>
    <w:rsid w:val="00B43230"/>
    <w:rsid w:val="00B44F0A"/>
    <w:rsid w:val="00B47359"/>
    <w:rsid w:val="00B519BA"/>
    <w:rsid w:val="00B539C7"/>
    <w:rsid w:val="00B54BC4"/>
    <w:rsid w:val="00B55255"/>
    <w:rsid w:val="00B600DE"/>
    <w:rsid w:val="00B64307"/>
    <w:rsid w:val="00B644D2"/>
    <w:rsid w:val="00B653AB"/>
    <w:rsid w:val="00B65F9E"/>
    <w:rsid w:val="00B66B19"/>
    <w:rsid w:val="00B728CE"/>
    <w:rsid w:val="00B72FD3"/>
    <w:rsid w:val="00B730E8"/>
    <w:rsid w:val="00B7341C"/>
    <w:rsid w:val="00B80EEB"/>
    <w:rsid w:val="00B81F93"/>
    <w:rsid w:val="00B8340B"/>
    <w:rsid w:val="00B8602B"/>
    <w:rsid w:val="00B914E9"/>
    <w:rsid w:val="00B956EE"/>
    <w:rsid w:val="00B977BA"/>
    <w:rsid w:val="00BA2BA1"/>
    <w:rsid w:val="00BA2BA7"/>
    <w:rsid w:val="00BA3447"/>
    <w:rsid w:val="00BA3562"/>
    <w:rsid w:val="00BA6200"/>
    <w:rsid w:val="00BB2CCE"/>
    <w:rsid w:val="00BB3BB3"/>
    <w:rsid w:val="00BB4F09"/>
    <w:rsid w:val="00BB6AC1"/>
    <w:rsid w:val="00BB7A98"/>
    <w:rsid w:val="00BB7BF7"/>
    <w:rsid w:val="00BC0961"/>
    <w:rsid w:val="00BC0EDF"/>
    <w:rsid w:val="00BC2D48"/>
    <w:rsid w:val="00BC4CBC"/>
    <w:rsid w:val="00BD0B1B"/>
    <w:rsid w:val="00BD2F68"/>
    <w:rsid w:val="00BD4E33"/>
    <w:rsid w:val="00BE2BD7"/>
    <w:rsid w:val="00BF409D"/>
    <w:rsid w:val="00BF779F"/>
    <w:rsid w:val="00C030DE"/>
    <w:rsid w:val="00C04132"/>
    <w:rsid w:val="00C0439B"/>
    <w:rsid w:val="00C051A8"/>
    <w:rsid w:val="00C103E5"/>
    <w:rsid w:val="00C10789"/>
    <w:rsid w:val="00C21B8F"/>
    <w:rsid w:val="00C22105"/>
    <w:rsid w:val="00C2288C"/>
    <w:rsid w:val="00C24301"/>
    <w:rsid w:val="00C244B6"/>
    <w:rsid w:val="00C255D5"/>
    <w:rsid w:val="00C274F2"/>
    <w:rsid w:val="00C27BF1"/>
    <w:rsid w:val="00C32743"/>
    <w:rsid w:val="00C3577D"/>
    <w:rsid w:val="00C36B0E"/>
    <w:rsid w:val="00C3702F"/>
    <w:rsid w:val="00C411C0"/>
    <w:rsid w:val="00C4184B"/>
    <w:rsid w:val="00C4500A"/>
    <w:rsid w:val="00C52DC0"/>
    <w:rsid w:val="00C53888"/>
    <w:rsid w:val="00C55AEE"/>
    <w:rsid w:val="00C5665B"/>
    <w:rsid w:val="00C577BF"/>
    <w:rsid w:val="00C60B7D"/>
    <w:rsid w:val="00C62238"/>
    <w:rsid w:val="00C62DE8"/>
    <w:rsid w:val="00C64A37"/>
    <w:rsid w:val="00C64E37"/>
    <w:rsid w:val="00C65611"/>
    <w:rsid w:val="00C66228"/>
    <w:rsid w:val="00C7158E"/>
    <w:rsid w:val="00C7250B"/>
    <w:rsid w:val="00C733F4"/>
    <w:rsid w:val="00C7346B"/>
    <w:rsid w:val="00C73A4C"/>
    <w:rsid w:val="00C751EB"/>
    <w:rsid w:val="00C77C0E"/>
    <w:rsid w:val="00C80BF5"/>
    <w:rsid w:val="00C8421D"/>
    <w:rsid w:val="00C84525"/>
    <w:rsid w:val="00C91687"/>
    <w:rsid w:val="00C924A8"/>
    <w:rsid w:val="00C945FE"/>
    <w:rsid w:val="00C96E55"/>
    <w:rsid w:val="00C96FAA"/>
    <w:rsid w:val="00C97A04"/>
    <w:rsid w:val="00CA0751"/>
    <w:rsid w:val="00CA0C2F"/>
    <w:rsid w:val="00CA107B"/>
    <w:rsid w:val="00CA2BE6"/>
    <w:rsid w:val="00CA484D"/>
    <w:rsid w:val="00CA4FB6"/>
    <w:rsid w:val="00CA6517"/>
    <w:rsid w:val="00CA7112"/>
    <w:rsid w:val="00CB1939"/>
    <w:rsid w:val="00CB2F90"/>
    <w:rsid w:val="00CB698B"/>
    <w:rsid w:val="00CB6AD4"/>
    <w:rsid w:val="00CC4C32"/>
    <w:rsid w:val="00CC739E"/>
    <w:rsid w:val="00CD1EBB"/>
    <w:rsid w:val="00CD28CF"/>
    <w:rsid w:val="00CD58B7"/>
    <w:rsid w:val="00CD6B32"/>
    <w:rsid w:val="00CD7967"/>
    <w:rsid w:val="00CF104E"/>
    <w:rsid w:val="00CF18EE"/>
    <w:rsid w:val="00CF2151"/>
    <w:rsid w:val="00CF30BD"/>
    <w:rsid w:val="00CF4099"/>
    <w:rsid w:val="00CF4DF2"/>
    <w:rsid w:val="00CF6FDD"/>
    <w:rsid w:val="00D00796"/>
    <w:rsid w:val="00D0522E"/>
    <w:rsid w:val="00D1002D"/>
    <w:rsid w:val="00D147DF"/>
    <w:rsid w:val="00D15380"/>
    <w:rsid w:val="00D16276"/>
    <w:rsid w:val="00D2197F"/>
    <w:rsid w:val="00D23C84"/>
    <w:rsid w:val="00D261A2"/>
    <w:rsid w:val="00D2662B"/>
    <w:rsid w:val="00D26E97"/>
    <w:rsid w:val="00D26F25"/>
    <w:rsid w:val="00D32385"/>
    <w:rsid w:val="00D33510"/>
    <w:rsid w:val="00D35966"/>
    <w:rsid w:val="00D41D8A"/>
    <w:rsid w:val="00D42D42"/>
    <w:rsid w:val="00D46650"/>
    <w:rsid w:val="00D504D7"/>
    <w:rsid w:val="00D57FB8"/>
    <w:rsid w:val="00D616D2"/>
    <w:rsid w:val="00D6299E"/>
    <w:rsid w:val="00D639EA"/>
    <w:rsid w:val="00D63B5F"/>
    <w:rsid w:val="00D642AB"/>
    <w:rsid w:val="00D64FA1"/>
    <w:rsid w:val="00D7051B"/>
    <w:rsid w:val="00D70EF7"/>
    <w:rsid w:val="00D73869"/>
    <w:rsid w:val="00D74736"/>
    <w:rsid w:val="00D8061A"/>
    <w:rsid w:val="00D8397C"/>
    <w:rsid w:val="00D84301"/>
    <w:rsid w:val="00D8526D"/>
    <w:rsid w:val="00D9456C"/>
    <w:rsid w:val="00D94EED"/>
    <w:rsid w:val="00D96026"/>
    <w:rsid w:val="00D972F6"/>
    <w:rsid w:val="00DA0CB3"/>
    <w:rsid w:val="00DA1AAC"/>
    <w:rsid w:val="00DA331D"/>
    <w:rsid w:val="00DA62B0"/>
    <w:rsid w:val="00DA7C1C"/>
    <w:rsid w:val="00DB0A55"/>
    <w:rsid w:val="00DB12AE"/>
    <w:rsid w:val="00DB13E6"/>
    <w:rsid w:val="00DB147A"/>
    <w:rsid w:val="00DB1B7A"/>
    <w:rsid w:val="00DB706E"/>
    <w:rsid w:val="00DC431A"/>
    <w:rsid w:val="00DC5885"/>
    <w:rsid w:val="00DC6708"/>
    <w:rsid w:val="00DC71BC"/>
    <w:rsid w:val="00DD011A"/>
    <w:rsid w:val="00DD06BA"/>
    <w:rsid w:val="00DD2876"/>
    <w:rsid w:val="00DD3449"/>
    <w:rsid w:val="00DD524A"/>
    <w:rsid w:val="00DD62E2"/>
    <w:rsid w:val="00DE2400"/>
    <w:rsid w:val="00DE58F1"/>
    <w:rsid w:val="00DE6690"/>
    <w:rsid w:val="00DE6B58"/>
    <w:rsid w:val="00DF12F9"/>
    <w:rsid w:val="00DF4819"/>
    <w:rsid w:val="00DF5946"/>
    <w:rsid w:val="00DF5E32"/>
    <w:rsid w:val="00DF6737"/>
    <w:rsid w:val="00E0085C"/>
    <w:rsid w:val="00E01152"/>
    <w:rsid w:val="00E013E0"/>
    <w:rsid w:val="00E01436"/>
    <w:rsid w:val="00E03122"/>
    <w:rsid w:val="00E03E79"/>
    <w:rsid w:val="00E045BD"/>
    <w:rsid w:val="00E04D6C"/>
    <w:rsid w:val="00E04FBC"/>
    <w:rsid w:val="00E071C7"/>
    <w:rsid w:val="00E161BE"/>
    <w:rsid w:val="00E166AC"/>
    <w:rsid w:val="00E16BC1"/>
    <w:rsid w:val="00E17B77"/>
    <w:rsid w:val="00E221E0"/>
    <w:rsid w:val="00E231AB"/>
    <w:rsid w:val="00E23337"/>
    <w:rsid w:val="00E259EA"/>
    <w:rsid w:val="00E25D33"/>
    <w:rsid w:val="00E27213"/>
    <w:rsid w:val="00E32061"/>
    <w:rsid w:val="00E33F48"/>
    <w:rsid w:val="00E42852"/>
    <w:rsid w:val="00E42FF9"/>
    <w:rsid w:val="00E434C7"/>
    <w:rsid w:val="00E44790"/>
    <w:rsid w:val="00E45182"/>
    <w:rsid w:val="00E45965"/>
    <w:rsid w:val="00E45998"/>
    <w:rsid w:val="00E46708"/>
    <w:rsid w:val="00E4714C"/>
    <w:rsid w:val="00E5178D"/>
    <w:rsid w:val="00E51AEB"/>
    <w:rsid w:val="00E522A7"/>
    <w:rsid w:val="00E5349E"/>
    <w:rsid w:val="00E53F25"/>
    <w:rsid w:val="00E54452"/>
    <w:rsid w:val="00E577AD"/>
    <w:rsid w:val="00E63B0C"/>
    <w:rsid w:val="00E664C5"/>
    <w:rsid w:val="00E671A2"/>
    <w:rsid w:val="00E676F7"/>
    <w:rsid w:val="00E75736"/>
    <w:rsid w:val="00E769AC"/>
    <w:rsid w:val="00E76D26"/>
    <w:rsid w:val="00E76EE5"/>
    <w:rsid w:val="00E8057D"/>
    <w:rsid w:val="00E823FE"/>
    <w:rsid w:val="00E83D2B"/>
    <w:rsid w:val="00E84288"/>
    <w:rsid w:val="00E87107"/>
    <w:rsid w:val="00E90122"/>
    <w:rsid w:val="00E9089C"/>
    <w:rsid w:val="00E933E3"/>
    <w:rsid w:val="00E9440E"/>
    <w:rsid w:val="00E95B8E"/>
    <w:rsid w:val="00E97AF9"/>
    <w:rsid w:val="00EA3F4A"/>
    <w:rsid w:val="00EA6EAF"/>
    <w:rsid w:val="00EB0A64"/>
    <w:rsid w:val="00EB0E36"/>
    <w:rsid w:val="00EB1390"/>
    <w:rsid w:val="00EB20A0"/>
    <w:rsid w:val="00EB2C71"/>
    <w:rsid w:val="00EB3333"/>
    <w:rsid w:val="00EB4340"/>
    <w:rsid w:val="00EB556D"/>
    <w:rsid w:val="00EB5A7D"/>
    <w:rsid w:val="00EB7ED1"/>
    <w:rsid w:val="00EC255A"/>
    <w:rsid w:val="00EC3F78"/>
    <w:rsid w:val="00EC4BE3"/>
    <w:rsid w:val="00EC5A9F"/>
    <w:rsid w:val="00EC79CC"/>
    <w:rsid w:val="00ED20B0"/>
    <w:rsid w:val="00ED55C0"/>
    <w:rsid w:val="00ED5C18"/>
    <w:rsid w:val="00ED682B"/>
    <w:rsid w:val="00EE223E"/>
    <w:rsid w:val="00EE3361"/>
    <w:rsid w:val="00EE41D5"/>
    <w:rsid w:val="00EE5675"/>
    <w:rsid w:val="00EE609A"/>
    <w:rsid w:val="00EE62AB"/>
    <w:rsid w:val="00EE6A88"/>
    <w:rsid w:val="00EE6B55"/>
    <w:rsid w:val="00EF0C78"/>
    <w:rsid w:val="00EF163E"/>
    <w:rsid w:val="00EF16B1"/>
    <w:rsid w:val="00EF31F0"/>
    <w:rsid w:val="00EF5616"/>
    <w:rsid w:val="00EF6A4C"/>
    <w:rsid w:val="00EF6AD2"/>
    <w:rsid w:val="00F0166F"/>
    <w:rsid w:val="00F01FA6"/>
    <w:rsid w:val="00F037A4"/>
    <w:rsid w:val="00F049AB"/>
    <w:rsid w:val="00F06FC1"/>
    <w:rsid w:val="00F1397A"/>
    <w:rsid w:val="00F142DB"/>
    <w:rsid w:val="00F15F2E"/>
    <w:rsid w:val="00F23D9E"/>
    <w:rsid w:val="00F27C8F"/>
    <w:rsid w:val="00F30B7C"/>
    <w:rsid w:val="00F30FCF"/>
    <w:rsid w:val="00F31FC1"/>
    <w:rsid w:val="00F32749"/>
    <w:rsid w:val="00F33002"/>
    <w:rsid w:val="00F33074"/>
    <w:rsid w:val="00F33AB0"/>
    <w:rsid w:val="00F35F12"/>
    <w:rsid w:val="00F37172"/>
    <w:rsid w:val="00F424C2"/>
    <w:rsid w:val="00F43BD9"/>
    <w:rsid w:val="00F4477E"/>
    <w:rsid w:val="00F46269"/>
    <w:rsid w:val="00F466B6"/>
    <w:rsid w:val="00F46DE8"/>
    <w:rsid w:val="00F47D88"/>
    <w:rsid w:val="00F50791"/>
    <w:rsid w:val="00F50C68"/>
    <w:rsid w:val="00F52F34"/>
    <w:rsid w:val="00F55E5E"/>
    <w:rsid w:val="00F56EA3"/>
    <w:rsid w:val="00F56F0A"/>
    <w:rsid w:val="00F60A13"/>
    <w:rsid w:val="00F60BA8"/>
    <w:rsid w:val="00F64812"/>
    <w:rsid w:val="00F649BC"/>
    <w:rsid w:val="00F64AF8"/>
    <w:rsid w:val="00F6582E"/>
    <w:rsid w:val="00F65C95"/>
    <w:rsid w:val="00F66BDE"/>
    <w:rsid w:val="00F67D8F"/>
    <w:rsid w:val="00F76261"/>
    <w:rsid w:val="00F802BE"/>
    <w:rsid w:val="00F80353"/>
    <w:rsid w:val="00F80E93"/>
    <w:rsid w:val="00F8149C"/>
    <w:rsid w:val="00F8171D"/>
    <w:rsid w:val="00F83278"/>
    <w:rsid w:val="00F85150"/>
    <w:rsid w:val="00F86024"/>
    <w:rsid w:val="00F8611A"/>
    <w:rsid w:val="00F87B10"/>
    <w:rsid w:val="00F942F9"/>
    <w:rsid w:val="00F96AD9"/>
    <w:rsid w:val="00F97A39"/>
    <w:rsid w:val="00F97E40"/>
    <w:rsid w:val="00FA14D7"/>
    <w:rsid w:val="00FA2DB7"/>
    <w:rsid w:val="00FA5123"/>
    <w:rsid w:val="00FA5128"/>
    <w:rsid w:val="00FB3001"/>
    <w:rsid w:val="00FB3766"/>
    <w:rsid w:val="00FB42D4"/>
    <w:rsid w:val="00FB5906"/>
    <w:rsid w:val="00FB6FA6"/>
    <w:rsid w:val="00FB762F"/>
    <w:rsid w:val="00FC2AED"/>
    <w:rsid w:val="00FC3A55"/>
    <w:rsid w:val="00FC505A"/>
    <w:rsid w:val="00FC5543"/>
    <w:rsid w:val="00FC61FC"/>
    <w:rsid w:val="00FD0358"/>
    <w:rsid w:val="00FD1207"/>
    <w:rsid w:val="00FD2AF7"/>
    <w:rsid w:val="00FD5EA7"/>
    <w:rsid w:val="00FE36CF"/>
    <w:rsid w:val="00FE556D"/>
    <w:rsid w:val="00FF0246"/>
    <w:rsid w:val="00FF09BD"/>
    <w:rsid w:val="00FF2C8F"/>
    <w:rsid w:val="00FF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4F88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013CC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Listazpunktatorami">
    <w:name w:val="Lista z punktatorami"/>
    <w:basedOn w:val="Normalny"/>
    <w:link w:val="ListazpunktatoramiZnak"/>
    <w:qFormat/>
    <w:rsid w:val="00F97A39"/>
    <w:pPr>
      <w:spacing w:after="0" w:line="276" w:lineRule="auto"/>
      <w:ind w:left="425" w:hanging="425"/>
    </w:pPr>
    <w:rPr>
      <w:rFonts w:eastAsia="Times New Roman" w:cs="Times New Roman"/>
      <w:szCs w:val="19"/>
      <w:lang w:eastAsia="pl-PL"/>
    </w:rPr>
  </w:style>
  <w:style w:type="paragraph" w:customStyle="1" w:styleId="Tablicawyszczeglnienie">
    <w:name w:val="Tablica wyszczególnienie"/>
    <w:basedOn w:val="Normalny"/>
    <w:link w:val="TablicawyszczeglnienieZnak"/>
    <w:qFormat/>
    <w:rsid w:val="00F97A39"/>
    <w:pPr>
      <w:jc w:val="center"/>
    </w:pPr>
    <w:rPr>
      <w:szCs w:val="19"/>
    </w:rPr>
  </w:style>
  <w:style w:type="character" w:customStyle="1" w:styleId="TablicawyszczeglnienieZnak">
    <w:name w:val="Tablica wyszczególnienie Znak"/>
    <w:basedOn w:val="Domylnaczcionkaakapitu"/>
    <w:link w:val="Tablicawyszczeglnienie"/>
    <w:rsid w:val="00F97A39"/>
    <w:rPr>
      <w:rFonts w:ascii="Fira Sans" w:hAnsi="Fira Sans"/>
      <w:sz w:val="19"/>
      <w:szCs w:val="19"/>
    </w:rPr>
  </w:style>
  <w:style w:type="paragraph" w:customStyle="1" w:styleId="Tablicarodek">
    <w:name w:val="Tablica środek"/>
    <w:basedOn w:val="Normalny"/>
    <w:link w:val="TablicarodekZnak"/>
    <w:qFormat/>
    <w:rsid w:val="00F97A39"/>
    <w:pPr>
      <w:jc w:val="right"/>
    </w:pPr>
    <w:rPr>
      <w:szCs w:val="19"/>
    </w:rPr>
  </w:style>
  <w:style w:type="character" w:customStyle="1" w:styleId="TablicarodekZnak">
    <w:name w:val="Tablica środek Znak"/>
    <w:basedOn w:val="Domylnaczcionkaakapitu"/>
    <w:link w:val="Tablicarodek"/>
    <w:rsid w:val="00F97A39"/>
    <w:rPr>
      <w:rFonts w:ascii="Fira Sans" w:hAnsi="Fira Sans"/>
      <w:sz w:val="19"/>
      <w:szCs w:val="19"/>
    </w:rPr>
  </w:style>
  <w:style w:type="paragraph" w:customStyle="1" w:styleId="Tablicaogemrodek">
    <w:name w:val="Tablica ogółem środek"/>
    <w:basedOn w:val="Tablicarodek"/>
    <w:link w:val="TablicaogemrodekZnak"/>
    <w:qFormat/>
    <w:rsid w:val="00F97A39"/>
    <w:rPr>
      <w:b/>
    </w:rPr>
  </w:style>
  <w:style w:type="paragraph" w:customStyle="1" w:styleId="Tablicaogemboczek">
    <w:name w:val="Tablica ogółem boczek"/>
    <w:basedOn w:val="Tablicaboczek"/>
    <w:link w:val="TablicaogemboczekZnak"/>
    <w:qFormat/>
    <w:rsid w:val="00F97A39"/>
    <w:rPr>
      <w:b/>
    </w:rPr>
  </w:style>
  <w:style w:type="character" w:customStyle="1" w:styleId="TablicaogemrodekZnak">
    <w:name w:val="Tablica ogółem środek Znak"/>
    <w:basedOn w:val="TablicarodekZnak"/>
    <w:link w:val="Tablicaogemrodek"/>
    <w:rsid w:val="00F97A39"/>
    <w:rPr>
      <w:rFonts w:ascii="Fira Sans" w:hAnsi="Fira Sans"/>
      <w:b/>
      <w:sz w:val="19"/>
      <w:szCs w:val="19"/>
    </w:rPr>
  </w:style>
  <w:style w:type="character" w:customStyle="1" w:styleId="TablicaogemboczekZnak">
    <w:name w:val="Tablica ogółem boczek Znak"/>
    <w:basedOn w:val="TablicaboczekZnak"/>
    <w:link w:val="Tablicaogemboczek"/>
    <w:rsid w:val="00F97A39"/>
    <w:rPr>
      <w:rFonts w:ascii="Fira Sans" w:eastAsia="Times New Roman" w:hAnsi="Fira Sans" w:cs="Calibri"/>
      <w:b/>
      <w:sz w:val="19"/>
      <w:szCs w:val="19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88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95886"/>
    <w:rPr>
      <w:color w:val="954F72" w:themeColor="followedHyperlink"/>
      <w:u w:val="single"/>
    </w:rPr>
  </w:style>
  <w:style w:type="character" w:customStyle="1" w:styleId="ListazpunktatoramiZnak">
    <w:name w:val="Lista z punktatorami Znak"/>
    <w:basedOn w:val="Domylnaczcionkaakapitu"/>
    <w:link w:val="Listazpunktatorami"/>
    <w:rsid w:val="00E46708"/>
    <w:rPr>
      <w:rFonts w:ascii="Fira Sans" w:eastAsia="Times New Roman" w:hAnsi="Fira Sans" w:cs="Times New Roman"/>
      <w:sz w:val="19"/>
      <w:szCs w:val="19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02D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02D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0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hyperlink" Target="https://stat.gov.pl/metainformacje/slownik-pojec/pojecia-stosowane-w-statystyce-publicznej/1127,pojecie.html" TargetMode="External"/><Relationship Id="rId21" Type="http://schemas.openxmlformats.org/officeDocument/2006/relationships/hyperlink" Target="https://kielce.stat.gov.pl/" TargetMode="External"/><Relationship Id="rId34" Type="http://schemas.openxmlformats.org/officeDocument/2006/relationships/hyperlink" Target="https://stat.gov.pl/metainformacje/slownik-pojec/pojecia-stosowane-w-statystyce-publicznej/1164,pojecie.html" TargetMode="External"/><Relationship Id="rId42" Type="http://schemas.openxmlformats.org/officeDocument/2006/relationships/footer" Target="foot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202,pojecie.html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3587,pojecie.html" TargetMode="External"/><Relationship Id="rId37" Type="http://schemas.openxmlformats.org/officeDocument/2006/relationships/hyperlink" Target="https://stat.gov.pl/metainformacje/slownik-pojec/pojecia-stosowane-w-statystyce-publicznej/1032,pojecie.html" TargetMode="External"/><Relationship Id="rId40" Type="http://schemas.openxmlformats.org/officeDocument/2006/relationships/hyperlink" Target="https://stat.gov.pl/metainformacje/slownik-pojec/pojecia-stosowane-w-statystyce-publicznej/1134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hyperlink" Target="https://twitter.com/Kielce_STAT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hyperlink" Target="https://stat.gov.pl/metainformacje/slownik-pojec/pojecia-stosowane-w-statystyce-publicznej/26,pojecie.html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1144,pojecie.html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hyperlink" Target="https://stat.gov.pl/spisy-powszechne/nsp-2021/nsp-2021-wyniki-wstepne/nsp-2021-wyniki-wstepne-informacja-sygnalna,7,1.html" TargetMode="External"/><Relationship Id="rId30" Type="http://schemas.openxmlformats.org/officeDocument/2006/relationships/hyperlink" Target="https://stat.gov.pl/metainformacje/slownik-pojec/pojecia-stosowane-w-statystyce-publicznej/622,pojecie.html" TargetMode="External"/><Relationship Id="rId35" Type="http://schemas.openxmlformats.org/officeDocument/2006/relationships/hyperlink" Target="https://stat.gov.pl/metainformacje/slownik-pojec/pojecia-stosowane-w-statystyce-publicznej/1133,pojecie.html" TargetMode="External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www.facebook.com/UrzadStatystycznyKielce/" TargetMode="External"/><Relationship Id="rId33" Type="http://schemas.openxmlformats.org/officeDocument/2006/relationships/hyperlink" Target="https://stat.gov.pl/metainformacje/slownik-pojec/pojecia-stosowane-w-statystyce-publicznej/1143,pojecie.html" TargetMode="External"/><Relationship Id="rId38" Type="http://schemas.openxmlformats.org/officeDocument/2006/relationships/hyperlink" Target="https://stat.gov.pl/metainformacje/slownik-pojec/pojecia-stosowane-w-statystyce-publicznej/103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Wzór sygnalna_NSP_27092022 v.1092022.docx.docx</NazwaPliku>
    <Osoba xmlns="AD3641B4-23D9-4536-AF9E-7D0EADDEB824">STAT\WROBELKA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infopath/2007/PartnerControls"/>
    <ds:schemaRef ds:uri="AD3641B4-23D9-4536-AF9E-7D0EADDEB824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0A9DF19-74E6-448B-8702-9F478A29F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783532-FE4F-4798-B5EF-E383812AF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1954</Words>
  <Characters>11728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D.Gorski@stat.gov.pl</dc:creator>
  <cp:keywords/>
  <dc:description/>
  <cp:lastModifiedBy>Łyżwa Aneta</cp:lastModifiedBy>
  <cp:revision>4</cp:revision>
  <cp:lastPrinted>2019-02-21T09:45:00Z</cp:lastPrinted>
  <dcterms:created xsi:type="dcterms:W3CDTF">2022-12-04T12:15:00Z</dcterms:created>
  <dcterms:modified xsi:type="dcterms:W3CDTF">2022-12-14T11:18:00Z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